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BB3CA2" w:rsidRPr="00E4438D" w:rsidTr="00E31F2D">
        <w:tc>
          <w:tcPr>
            <w:tcW w:w="4728" w:type="dxa"/>
          </w:tcPr>
          <w:p w:rsidR="00BB3CA2" w:rsidRPr="00E4438D" w:rsidRDefault="00B66785" w:rsidP="007476DC">
            <w:pPr>
              <w:rPr>
                <w:rFonts w:eastAsia="Arial Unicode MS"/>
                <w:szCs w:val="22"/>
                <w:lang w:val="en-GB"/>
              </w:rPr>
            </w:pPr>
            <w:r w:rsidRPr="00E4438D">
              <w:rPr>
                <w:rFonts w:eastAsia="Arial Unicode MS"/>
                <w:szCs w:val="22"/>
                <w:lang w:val="en-GB" w:eastAsia="en-GB"/>
              </w:rPr>
              <w:drawing>
                <wp:inline distT="0" distB="0" distL="0" distR="0" wp14:anchorId="5B549E4F" wp14:editId="584A3422">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c>
          <w:tcPr>
            <w:tcW w:w="990" w:type="dxa"/>
          </w:tcPr>
          <w:p w:rsidR="00BB3CA2" w:rsidRPr="00E4438D" w:rsidRDefault="00BB3CA2" w:rsidP="007476DC">
            <w:pPr>
              <w:rPr>
                <w:szCs w:val="22"/>
                <w:lang w:val="en-GB"/>
              </w:rPr>
            </w:pPr>
          </w:p>
        </w:tc>
        <w:tc>
          <w:tcPr>
            <w:tcW w:w="3525" w:type="dxa"/>
          </w:tcPr>
          <w:p w:rsidR="00BB3CA2" w:rsidRPr="00E4438D" w:rsidRDefault="00BB3CA2" w:rsidP="007476DC">
            <w:pPr>
              <w:jc w:val="center"/>
              <w:rPr>
                <w:b/>
                <w:bCs/>
                <w:szCs w:val="22"/>
                <w:lang w:val="en-GB"/>
              </w:rPr>
            </w:pPr>
          </w:p>
        </w:tc>
      </w:tr>
    </w:tbl>
    <w:p w:rsidR="00BB3CA2" w:rsidRPr="00E4438D" w:rsidRDefault="00355E0E" w:rsidP="007476DC">
      <w:pPr>
        <w:rPr>
          <w:szCs w:val="22"/>
          <w:lang w:val="en-GB"/>
        </w:rPr>
      </w:pPr>
      <w:r w:rsidRPr="00E4438D">
        <w:rPr>
          <w:lang w:val="en-GB" w:eastAsia="en-GB"/>
        </w:rPr>
        <mc:AlternateContent>
          <mc:Choice Requires="wps">
            <w:drawing>
              <wp:anchor distT="0" distB="0" distL="114300" distR="114300" simplePos="0" relativeHeight="251657728" behindDoc="1" locked="0" layoutInCell="0" allowOverlap="1" wp14:anchorId="31BEEAB9" wp14:editId="043F840B">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cs="Arial"/>
                          <w:b/>
                          <w:bCs/>
                          <w:sz w:val="48"/>
                        </w:rPr>
                        <w:t>EN</w:t>
                      </w:r>
                    </w:p>
                  </w:txbxContent>
                </v:textbox>
                <w10:wrap anchorx="page" anchory="page"/>
              </v:shape>
            </w:pict>
          </mc:Fallback>
        </mc:AlternateContent>
      </w:r>
    </w:p>
    <w:p w:rsidR="00BB3CA2" w:rsidRPr="00E4438D" w:rsidRDefault="00BB3CA2" w:rsidP="007476DC">
      <w:pPr>
        <w:rPr>
          <w:szCs w:val="22"/>
          <w:lang w:val="en-GB"/>
        </w:rPr>
      </w:pPr>
    </w:p>
    <w:p w:rsidR="00BB3CA2" w:rsidRPr="00E4438D" w:rsidRDefault="00BB3CA2" w:rsidP="007476DC">
      <w:pPr>
        <w:ind w:firstLine="5040"/>
        <w:jc w:val="right"/>
        <w:rPr>
          <w:szCs w:val="22"/>
          <w:lang w:val="en-GB"/>
        </w:rPr>
      </w:pPr>
      <w:r w:rsidRPr="00E4438D">
        <w:rPr>
          <w:szCs w:val="22"/>
          <w:lang w:val="en-GB"/>
        </w:rPr>
        <w:t xml:space="preserve">Brussels, </w:t>
      </w:r>
      <w:r w:rsidR="00457CBF" w:rsidRPr="00E4438D">
        <w:rPr>
          <w:szCs w:val="22"/>
          <w:lang w:val="en-GB"/>
        </w:rPr>
        <w:t xml:space="preserve">26 </w:t>
      </w:r>
      <w:r w:rsidR="00355E0E" w:rsidRPr="00E4438D">
        <w:rPr>
          <w:szCs w:val="22"/>
          <w:lang w:val="en-GB"/>
        </w:rPr>
        <w:t>June 2015</w:t>
      </w:r>
    </w:p>
    <w:p w:rsidR="00BB3CA2" w:rsidRPr="00E4438D" w:rsidRDefault="00BB3CA2" w:rsidP="007476DC">
      <w:pPr>
        <w:jc w:val="center"/>
        <w:rPr>
          <w:szCs w:val="22"/>
          <w:lang w:val="en-GB"/>
        </w:rPr>
      </w:pPr>
    </w:p>
    <w:p w:rsidR="00BB3CA2" w:rsidRPr="00E4438D" w:rsidRDefault="00BB3CA2" w:rsidP="007476DC">
      <w:pPr>
        <w:jc w:val="center"/>
        <w:rPr>
          <w:szCs w:val="22"/>
          <w:lang w:val="en-GB"/>
        </w:rPr>
      </w:pPr>
    </w:p>
    <w:p w:rsidR="00BB3CA2" w:rsidRPr="00E4438D" w:rsidRDefault="00BB3CA2" w:rsidP="007476DC">
      <w:pPr>
        <w:jc w:val="center"/>
        <w:rPr>
          <w:szCs w:val="22"/>
          <w:lang w:val="en-GB"/>
        </w:rPr>
      </w:pPr>
    </w:p>
    <w:p w:rsidR="00BB3CA2" w:rsidRPr="00E4438D" w:rsidRDefault="00BB3CA2" w:rsidP="007476DC">
      <w:pPr>
        <w:jc w:val="center"/>
        <w:rPr>
          <w:szCs w:val="22"/>
          <w:lang w:val="en-GB"/>
        </w:rPr>
      </w:pPr>
    </w:p>
    <w:p w:rsidR="00BB3CA2" w:rsidRPr="00E4438D" w:rsidRDefault="00BB3CA2" w:rsidP="007476DC">
      <w:pPr>
        <w:jc w:val="center"/>
        <w:rPr>
          <w:szCs w:val="22"/>
          <w:lang w:val="en-GB"/>
        </w:rPr>
      </w:pPr>
    </w:p>
    <w:p w:rsidR="00BB3CA2" w:rsidRPr="00E4438D" w:rsidRDefault="00355E0E" w:rsidP="007476DC">
      <w:pPr>
        <w:jc w:val="center"/>
        <w:rPr>
          <w:b/>
          <w:bCs/>
          <w:szCs w:val="22"/>
          <w:lang w:val="en-GB"/>
        </w:rPr>
      </w:pPr>
      <w:r w:rsidRPr="00E4438D">
        <w:rPr>
          <w:b/>
          <w:bCs/>
          <w:szCs w:val="22"/>
          <w:lang w:val="en-GB"/>
        </w:rPr>
        <w:t>161st</w:t>
      </w:r>
      <w:r w:rsidR="00BB3CA2" w:rsidRPr="00E4438D">
        <w:rPr>
          <w:b/>
          <w:bCs/>
          <w:szCs w:val="22"/>
          <w:lang w:val="en-GB"/>
        </w:rPr>
        <w:t xml:space="preserve"> MEETING OF THE </w:t>
      </w:r>
      <w:r w:rsidR="001C654A" w:rsidRPr="00E4438D">
        <w:rPr>
          <w:b/>
          <w:bCs/>
          <w:szCs w:val="22"/>
          <w:lang w:val="en-GB"/>
        </w:rPr>
        <w:t xml:space="preserve">EUROPEAN </w:t>
      </w:r>
      <w:r w:rsidR="00BB3CA2" w:rsidRPr="00E4438D">
        <w:rPr>
          <w:b/>
          <w:bCs/>
          <w:szCs w:val="22"/>
          <w:lang w:val="en-GB"/>
        </w:rPr>
        <w:t>COMMITTEE OF THE REGIONS BUREAU</w:t>
      </w:r>
    </w:p>
    <w:p w:rsidR="00BB3CA2" w:rsidRPr="00E4438D" w:rsidRDefault="00BB3CA2" w:rsidP="007476DC">
      <w:pPr>
        <w:jc w:val="center"/>
        <w:rPr>
          <w:b/>
          <w:bCs/>
          <w:szCs w:val="22"/>
          <w:lang w:val="en-GB"/>
        </w:rPr>
      </w:pPr>
    </w:p>
    <w:p w:rsidR="00BB3CA2" w:rsidRPr="00E4438D" w:rsidRDefault="00BB3CA2" w:rsidP="007476DC">
      <w:pPr>
        <w:jc w:val="center"/>
        <w:rPr>
          <w:b/>
          <w:bCs/>
          <w:caps/>
          <w:szCs w:val="22"/>
          <w:lang w:val="en-GB"/>
        </w:rPr>
      </w:pPr>
      <w:r w:rsidRPr="00E4438D">
        <w:rPr>
          <w:lang w:val="en-GB"/>
        </w:rPr>
        <w:t>–</w:t>
      </w:r>
      <w:r w:rsidRPr="00E4438D">
        <w:rPr>
          <w:b/>
          <w:bCs/>
          <w:caps/>
          <w:szCs w:val="22"/>
          <w:lang w:val="en-GB"/>
        </w:rPr>
        <w:t xml:space="preserve"> </w:t>
      </w:r>
      <w:r w:rsidR="00355E0E" w:rsidRPr="00E4438D">
        <w:rPr>
          <w:b/>
          <w:bCs/>
          <w:caps/>
          <w:szCs w:val="22"/>
          <w:lang w:val="en-GB"/>
        </w:rPr>
        <w:t>7 JULY 2015</w:t>
      </w:r>
      <w:r w:rsidRPr="00E4438D">
        <w:rPr>
          <w:b/>
          <w:bCs/>
          <w:caps/>
          <w:szCs w:val="22"/>
          <w:lang w:val="en-GB"/>
        </w:rPr>
        <w:t xml:space="preserve"> </w:t>
      </w:r>
      <w:r w:rsidRPr="00E4438D">
        <w:rPr>
          <w:lang w:val="en-GB"/>
        </w:rPr>
        <w:t>–</w:t>
      </w:r>
    </w:p>
    <w:p w:rsidR="00BB3CA2" w:rsidRPr="00E4438D" w:rsidRDefault="00BB3CA2" w:rsidP="007476DC">
      <w:pPr>
        <w:jc w:val="center"/>
        <w:rPr>
          <w:b/>
          <w:bCs/>
          <w:szCs w:val="22"/>
          <w:lang w:val="en-GB"/>
        </w:rPr>
      </w:pPr>
    </w:p>
    <w:p w:rsidR="00BB3CA2" w:rsidRPr="00E4438D" w:rsidRDefault="00BB3CA2" w:rsidP="007476DC">
      <w:pPr>
        <w:tabs>
          <w:tab w:val="right" w:pos="9027"/>
        </w:tabs>
        <w:jc w:val="center"/>
        <w:rPr>
          <w:szCs w:val="22"/>
          <w:lang w:val="en-GB"/>
        </w:rPr>
      </w:pPr>
    </w:p>
    <w:p w:rsidR="00BB3CA2" w:rsidRPr="00E4438D" w:rsidRDefault="00BB3CA2" w:rsidP="007476DC">
      <w:pPr>
        <w:tabs>
          <w:tab w:val="right" w:pos="9027"/>
        </w:tabs>
        <w:jc w:val="center"/>
        <w:rPr>
          <w:szCs w:val="22"/>
          <w:lang w:val="en-GB"/>
        </w:rPr>
      </w:pPr>
    </w:p>
    <w:tbl>
      <w:tblPr>
        <w:tblW w:w="9243" w:type="dxa"/>
        <w:tblLayout w:type="fixed"/>
        <w:tblLook w:val="0000" w:firstRow="0" w:lastRow="0" w:firstColumn="0" w:lastColumn="0" w:noHBand="0" w:noVBand="0"/>
      </w:tblPr>
      <w:tblGrid>
        <w:gridCol w:w="9243"/>
      </w:tblGrid>
      <w:tr w:rsidR="00BB3CA2" w:rsidRPr="00E4438D">
        <w:tc>
          <w:tcPr>
            <w:tcW w:w="9243" w:type="dxa"/>
            <w:tcBorders>
              <w:top w:val="single" w:sz="6" w:space="0" w:color="auto"/>
              <w:left w:val="single" w:sz="6" w:space="0" w:color="auto"/>
              <w:bottom w:val="single" w:sz="6" w:space="0" w:color="auto"/>
              <w:right w:val="single" w:sz="6" w:space="0" w:color="auto"/>
            </w:tcBorders>
          </w:tcPr>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r w:rsidRPr="00E4438D">
              <w:rPr>
                <w:b/>
                <w:bCs/>
                <w:szCs w:val="22"/>
                <w:lang w:val="en-GB"/>
              </w:rPr>
              <w:t xml:space="preserve">ITEM </w:t>
            </w:r>
            <w:r w:rsidR="004D1243" w:rsidRPr="00E4438D">
              <w:rPr>
                <w:b/>
                <w:bCs/>
                <w:szCs w:val="22"/>
                <w:lang w:val="en-GB"/>
              </w:rPr>
              <w:t>5</w:t>
            </w:r>
            <w:r w:rsidR="00DE5B36" w:rsidRPr="00E4438D">
              <w:rPr>
                <w:b/>
                <w:bCs/>
                <w:szCs w:val="22"/>
                <w:lang w:val="en-GB"/>
              </w:rPr>
              <w:t>a</w:t>
            </w:r>
          </w:p>
          <w:p w:rsidR="00BB3CA2" w:rsidRPr="00E4438D" w:rsidRDefault="00BB3CA2" w:rsidP="007476DC">
            <w:pPr>
              <w:jc w:val="center"/>
              <w:rPr>
                <w:b/>
                <w:bCs/>
                <w:szCs w:val="22"/>
                <w:lang w:val="en-GB"/>
              </w:rPr>
            </w:pPr>
          </w:p>
          <w:p w:rsidR="00355E0E" w:rsidRPr="00E4438D" w:rsidRDefault="00355E0E" w:rsidP="00355E0E">
            <w:pPr>
              <w:jc w:val="center"/>
              <w:rPr>
                <w:rFonts w:ascii="Times New Roman Bold" w:hAnsi="Times New Roman Bold"/>
                <w:b/>
                <w:lang w:val="en-GB"/>
              </w:rPr>
            </w:pPr>
            <w:r w:rsidRPr="00E4438D">
              <w:rPr>
                <w:rFonts w:ascii="Times New Roman Bold" w:hAnsi="Times New Roman Bold"/>
                <w:b/>
                <w:lang w:val="en-GB"/>
              </w:rPr>
              <w:t>REPORT ON THE IMPACT OF COR OPINIONS</w:t>
            </w:r>
          </w:p>
          <w:p w:rsidR="00355E0E" w:rsidRPr="00E4438D" w:rsidRDefault="00355E0E" w:rsidP="00355E0E">
            <w:pPr>
              <w:jc w:val="center"/>
              <w:rPr>
                <w:b/>
                <w:smallCaps/>
                <w:lang w:val="en-GB"/>
              </w:rPr>
            </w:pPr>
          </w:p>
          <w:p w:rsidR="00BB3CA2" w:rsidRPr="00E4438D" w:rsidRDefault="00355E0E" w:rsidP="00355E0E">
            <w:pPr>
              <w:jc w:val="center"/>
              <w:rPr>
                <w:b/>
                <w:smallCaps/>
                <w:szCs w:val="22"/>
                <w:lang w:val="en-GB"/>
              </w:rPr>
            </w:pPr>
            <w:r w:rsidRPr="00E4438D">
              <w:rPr>
                <w:b/>
                <w:smallCaps/>
                <w:lang w:val="en-GB"/>
              </w:rPr>
              <w:t xml:space="preserve">- </w:t>
            </w:r>
            <w:r w:rsidRPr="00E4438D">
              <w:rPr>
                <w:rFonts w:ascii="Times New Roman Bold" w:hAnsi="Times New Roman Bold"/>
                <w:b/>
                <w:lang w:val="en-GB"/>
              </w:rPr>
              <w:t>EX</w:t>
            </w:r>
            <w:r w:rsidR="00414544" w:rsidRPr="00E4438D">
              <w:rPr>
                <w:rFonts w:ascii="Times New Roman Bold" w:hAnsi="Times New Roman Bold"/>
                <w:b/>
                <w:lang w:val="en-GB"/>
              </w:rPr>
              <w:t>E</w:t>
            </w:r>
            <w:r w:rsidRPr="00E4438D">
              <w:rPr>
                <w:rFonts w:ascii="Times New Roman Bold" w:hAnsi="Times New Roman Bold"/>
                <w:b/>
                <w:lang w:val="en-GB"/>
              </w:rPr>
              <w:t>CUTIVE SUMMARY</w:t>
            </w:r>
            <w:r w:rsidRPr="00E4438D">
              <w:rPr>
                <w:b/>
                <w:smallCaps/>
                <w:lang w:val="en-GB"/>
              </w:rPr>
              <w:t xml:space="preserve"> -</w:t>
            </w:r>
          </w:p>
          <w:p w:rsidR="00BB3CA2" w:rsidRPr="00E4438D" w:rsidRDefault="00BB3CA2" w:rsidP="007476DC">
            <w:pPr>
              <w:jc w:val="center"/>
              <w:rPr>
                <w:b/>
                <w:bCs/>
                <w:szCs w:val="22"/>
                <w:lang w:val="en-GB"/>
              </w:rPr>
            </w:pPr>
          </w:p>
          <w:p w:rsidR="00BB3CA2" w:rsidRPr="00E4438D" w:rsidRDefault="00BB3CA2" w:rsidP="007476DC">
            <w:pPr>
              <w:rPr>
                <w:szCs w:val="22"/>
                <w:lang w:val="en-GB"/>
              </w:rPr>
            </w:pPr>
            <w:r w:rsidRPr="00E4438D">
              <w:rPr>
                <w:i/>
                <w:iCs/>
                <w:szCs w:val="22"/>
                <w:lang w:val="en-GB"/>
              </w:rPr>
              <w:t xml:space="preserve">Submitted by the secretary-general </w:t>
            </w:r>
          </w:p>
        </w:tc>
      </w:tr>
    </w:tbl>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p>
    <w:p w:rsidR="00BB3CA2" w:rsidRPr="00E4438D" w:rsidRDefault="00BB3CA2" w:rsidP="007476DC">
      <w:pPr>
        <w:jc w:val="center"/>
        <w:rPr>
          <w:b/>
          <w:szCs w:val="22"/>
          <w:lang w:val="en-GB"/>
        </w:rPr>
      </w:pPr>
    </w:p>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p>
    <w:p w:rsidR="00BB3CA2" w:rsidRPr="00E4438D" w:rsidRDefault="00BB3CA2" w:rsidP="007476DC">
      <w:pPr>
        <w:jc w:val="center"/>
        <w:rPr>
          <w:b/>
          <w:bCs/>
          <w:szCs w:val="22"/>
          <w:u w:val="single"/>
          <w:lang w:val="en-GB"/>
        </w:rPr>
      </w:pPr>
      <w:r w:rsidRPr="00E4438D">
        <w:rPr>
          <w:b/>
          <w:bCs/>
          <w:szCs w:val="22"/>
          <w:u w:val="single"/>
          <w:lang w:val="en-GB"/>
        </w:rPr>
        <w:t xml:space="preserve">FOR </w:t>
      </w:r>
      <w:r w:rsidR="00355E0E" w:rsidRPr="00E4438D">
        <w:rPr>
          <w:b/>
          <w:bCs/>
          <w:szCs w:val="22"/>
          <w:u w:val="single"/>
          <w:lang w:val="en-GB"/>
        </w:rPr>
        <w:t>DEBATE</w:t>
      </w:r>
    </w:p>
    <w:p w:rsidR="00BB3CA2" w:rsidRPr="00E4438D" w:rsidRDefault="00BB3CA2" w:rsidP="007476DC">
      <w:pPr>
        <w:jc w:val="center"/>
        <w:rPr>
          <w:b/>
          <w:bCs/>
          <w:szCs w:val="22"/>
          <w:u w:val="single"/>
          <w:lang w:val="en-GB"/>
        </w:rPr>
      </w:pPr>
    </w:p>
    <w:p w:rsidR="00BB3CA2" w:rsidRPr="00E4438D" w:rsidRDefault="00BB3CA2" w:rsidP="007476DC">
      <w:pPr>
        <w:rPr>
          <w:b/>
          <w:bCs/>
          <w:szCs w:val="22"/>
          <w:u w:val="single"/>
          <w:lang w:val="en-GB"/>
        </w:rPr>
      </w:pPr>
    </w:p>
    <w:p w:rsidR="00BB3CA2" w:rsidRPr="00E4438D" w:rsidRDefault="00BB3CA2" w:rsidP="007476DC">
      <w:pPr>
        <w:rPr>
          <w:b/>
          <w:bCs/>
          <w:szCs w:val="22"/>
          <w:u w:val="single"/>
          <w:lang w:val="en-GB"/>
        </w:rPr>
        <w:sectPr w:rsidR="00BB3CA2" w:rsidRPr="00E4438D" w:rsidSect="00DE5B36">
          <w:footerReference w:type="default" r:id="rId9"/>
          <w:pgSz w:w="11907" w:h="16840" w:code="9"/>
          <w:pgMar w:top="567" w:right="1440" w:bottom="2268" w:left="1440" w:header="284" w:footer="1134" w:gutter="0"/>
          <w:pgNumType w:start="1"/>
          <w:cols w:space="720"/>
          <w:docGrid w:linePitch="299"/>
        </w:sectPr>
      </w:pPr>
    </w:p>
    <w:p w:rsidR="00BB3CA2" w:rsidRPr="00E4438D" w:rsidRDefault="00BB3CA2" w:rsidP="007476DC">
      <w:pPr>
        <w:jc w:val="center"/>
        <w:rPr>
          <w:b/>
          <w:bCs/>
          <w:szCs w:val="22"/>
          <w:lang w:val="en-GB"/>
        </w:rPr>
      </w:pPr>
      <w:bookmarkStart w:id="0" w:name="_GoBack"/>
      <w:bookmarkEnd w:id="0"/>
      <w:r w:rsidRPr="00E4438D">
        <w:rPr>
          <w:b/>
          <w:bCs/>
          <w:szCs w:val="22"/>
          <w:lang w:val="en-GB"/>
        </w:rPr>
        <w:lastRenderedPageBreak/>
        <w:t>MEMO FOR CoR BUREAU MEMBERS</w:t>
      </w:r>
    </w:p>
    <w:p w:rsidR="00BB3CA2" w:rsidRPr="00E4438D" w:rsidRDefault="00BB3CA2" w:rsidP="007476DC">
      <w:pPr>
        <w:jc w:val="center"/>
        <w:rPr>
          <w:szCs w:val="22"/>
          <w:lang w:val="en-GB"/>
        </w:rPr>
      </w:pPr>
    </w:p>
    <w:p w:rsidR="00BB3CA2" w:rsidRPr="00E4438D" w:rsidRDefault="00355E0E" w:rsidP="007476DC">
      <w:pPr>
        <w:jc w:val="center"/>
        <w:rPr>
          <w:b/>
          <w:bCs/>
          <w:szCs w:val="22"/>
          <w:lang w:val="en-GB"/>
        </w:rPr>
      </w:pPr>
      <w:r w:rsidRPr="00E4438D">
        <w:rPr>
          <w:b/>
          <w:bCs/>
          <w:szCs w:val="22"/>
          <w:lang w:val="en-GB"/>
        </w:rPr>
        <w:t>161st</w:t>
      </w:r>
      <w:r w:rsidR="00BB3CA2" w:rsidRPr="00E4438D">
        <w:rPr>
          <w:b/>
          <w:bCs/>
          <w:szCs w:val="22"/>
          <w:lang w:val="en-GB"/>
        </w:rPr>
        <w:t xml:space="preserve"> MEETING OF THE </w:t>
      </w:r>
      <w:r w:rsidR="001C654A" w:rsidRPr="00E4438D">
        <w:rPr>
          <w:b/>
          <w:bCs/>
          <w:szCs w:val="22"/>
          <w:lang w:val="en-GB"/>
        </w:rPr>
        <w:t xml:space="preserve">EUROPEAN </w:t>
      </w:r>
      <w:r w:rsidR="00BB3CA2" w:rsidRPr="00E4438D">
        <w:rPr>
          <w:b/>
          <w:bCs/>
          <w:szCs w:val="22"/>
          <w:lang w:val="en-GB"/>
        </w:rPr>
        <w:t>COMMITTEE OF THE REGIONS BUREAU</w:t>
      </w:r>
    </w:p>
    <w:p w:rsidR="00BB3CA2" w:rsidRPr="00E4438D" w:rsidRDefault="00BB3CA2" w:rsidP="007476DC">
      <w:pPr>
        <w:jc w:val="center"/>
        <w:rPr>
          <w:b/>
          <w:bCs/>
          <w:szCs w:val="22"/>
          <w:lang w:val="en-GB"/>
        </w:rPr>
      </w:pPr>
    </w:p>
    <w:p w:rsidR="00BB3CA2" w:rsidRPr="00E4438D" w:rsidRDefault="00BB3CA2" w:rsidP="007476DC">
      <w:pPr>
        <w:jc w:val="center"/>
        <w:rPr>
          <w:b/>
          <w:bCs/>
          <w:szCs w:val="22"/>
          <w:lang w:val="en-GB"/>
        </w:rPr>
      </w:pPr>
      <w:r w:rsidRPr="00E4438D">
        <w:rPr>
          <w:lang w:val="en-GB"/>
        </w:rPr>
        <w:t>–</w:t>
      </w:r>
      <w:r w:rsidRPr="00E4438D">
        <w:rPr>
          <w:b/>
          <w:bCs/>
          <w:szCs w:val="22"/>
          <w:lang w:val="en-GB"/>
        </w:rPr>
        <w:t xml:space="preserve"> </w:t>
      </w:r>
      <w:r w:rsidR="00355E0E" w:rsidRPr="00E4438D">
        <w:rPr>
          <w:b/>
          <w:bCs/>
          <w:szCs w:val="22"/>
          <w:lang w:val="en-GB"/>
        </w:rPr>
        <w:t>7 July 2015</w:t>
      </w:r>
      <w:r w:rsidRPr="00E4438D">
        <w:rPr>
          <w:b/>
          <w:bCs/>
          <w:szCs w:val="22"/>
          <w:lang w:val="en-GB"/>
        </w:rPr>
        <w:t xml:space="preserve"> </w:t>
      </w:r>
      <w:r w:rsidRPr="00E4438D">
        <w:rPr>
          <w:lang w:val="en-GB"/>
        </w:rPr>
        <w:t>–</w:t>
      </w:r>
    </w:p>
    <w:p w:rsidR="00BB3CA2" w:rsidRPr="00E4438D" w:rsidRDefault="00BB3CA2" w:rsidP="007476DC">
      <w:pPr>
        <w:jc w:val="center"/>
        <w:rPr>
          <w:b/>
          <w:bCs/>
          <w:caps/>
          <w:szCs w:val="22"/>
          <w:lang w:val="en-GB"/>
        </w:rPr>
      </w:pPr>
    </w:p>
    <w:tbl>
      <w:tblPr>
        <w:tblW w:w="0" w:type="auto"/>
        <w:tblLook w:val="01E0" w:firstRow="1" w:lastRow="1" w:firstColumn="1" w:lastColumn="1" w:noHBand="0" w:noVBand="0"/>
      </w:tblPr>
      <w:tblGrid>
        <w:gridCol w:w="9242"/>
      </w:tblGrid>
      <w:tr w:rsidR="00BB3CA2" w:rsidRPr="00E4438D" w:rsidTr="00B12E68">
        <w:tc>
          <w:tcPr>
            <w:tcW w:w="9242" w:type="dxa"/>
            <w:tcBorders>
              <w:top w:val="single" w:sz="4" w:space="0" w:color="auto"/>
              <w:left w:val="single" w:sz="4" w:space="0" w:color="auto"/>
              <w:bottom w:val="single" w:sz="4" w:space="0" w:color="auto"/>
              <w:right w:val="single" w:sz="4" w:space="0" w:color="auto"/>
            </w:tcBorders>
          </w:tcPr>
          <w:p w:rsidR="00BB3CA2" w:rsidRPr="00E4438D" w:rsidRDefault="00BB3CA2" w:rsidP="007476DC">
            <w:pPr>
              <w:jc w:val="center"/>
              <w:rPr>
                <w:b/>
                <w:szCs w:val="22"/>
                <w:lang w:val="en-GB"/>
              </w:rPr>
            </w:pPr>
            <w:r w:rsidRPr="00E4438D">
              <w:rPr>
                <w:b/>
                <w:szCs w:val="22"/>
                <w:lang w:val="en-GB"/>
              </w:rPr>
              <w:t xml:space="preserve">Item </w:t>
            </w:r>
            <w:r w:rsidR="004D1243" w:rsidRPr="00E4438D">
              <w:rPr>
                <w:b/>
                <w:szCs w:val="22"/>
                <w:lang w:val="en-GB"/>
              </w:rPr>
              <w:t>5</w:t>
            </w:r>
            <w:r w:rsidR="00355E0E" w:rsidRPr="00E4438D">
              <w:rPr>
                <w:b/>
                <w:szCs w:val="22"/>
                <w:lang w:val="en-GB"/>
              </w:rPr>
              <w:t>a</w:t>
            </w:r>
          </w:p>
          <w:p w:rsidR="00BB3CA2" w:rsidRPr="00E4438D" w:rsidRDefault="00BB3CA2" w:rsidP="007476DC">
            <w:pPr>
              <w:jc w:val="center"/>
              <w:rPr>
                <w:b/>
                <w:szCs w:val="22"/>
                <w:lang w:val="en-GB"/>
              </w:rPr>
            </w:pPr>
          </w:p>
          <w:p w:rsidR="00BB3CA2" w:rsidRPr="00E4438D" w:rsidRDefault="00355E0E" w:rsidP="007476DC">
            <w:pPr>
              <w:jc w:val="center"/>
              <w:rPr>
                <w:b/>
                <w:szCs w:val="22"/>
                <w:lang w:val="en-GB"/>
              </w:rPr>
            </w:pPr>
            <w:r w:rsidRPr="00E4438D">
              <w:rPr>
                <w:b/>
                <w:szCs w:val="22"/>
                <w:lang w:val="en-GB"/>
              </w:rPr>
              <w:t>Report on the impact of CoR opinions</w:t>
            </w:r>
          </w:p>
          <w:p w:rsidR="00355E0E" w:rsidRPr="00E4438D" w:rsidRDefault="00355E0E" w:rsidP="007476DC">
            <w:pPr>
              <w:jc w:val="center"/>
              <w:rPr>
                <w:b/>
                <w:szCs w:val="22"/>
                <w:lang w:val="en-GB"/>
              </w:rPr>
            </w:pPr>
          </w:p>
          <w:p w:rsidR="00355E0E" w:rsidRPr="00E4438D" w:rsidRDefault="00355E0E" w:rsidP="007476DC">
            <w:pPr>
              <w:jc w:val="center"/>
              <w:rPr>
                <w:b/>
                <w:szCs w:val="22"/>
                <w:lang w:val="en-GB"/>
              </w:rPr>
            </w:pPr>
            <w:r w:rsidRPr="00E4438D">
              <w:rPr>
                <w:b/>
                <w:szCs w:val="22"/>
                <w:lang w:val="en-GB"/>
              </w:rPr>
              <w:t>- Executive Summary -</w:t>
            </w:r>
          </w:p>
        </w:tc>
      </w:tr>
    </w:tbl>
    <w:p w:rsidR="00BB3CA2" w:rsidRPr="00E4438D" w:rsidRDefault="00BB3CA2" w:rsidP="007476DC">
      <w:pPr>
        <w:rPr>
          <w:szCs w:val="22"/>
          <w:lang w:val="en-GB"/>
        </w:rPr>
      </w:pPr>
    </w:p>
    <w:p w:rsidR="00355E0E" w:rsidRPr="00E4438D" w:rsidRDefault="00355E0E" w:rsidP="00355E0E">
      <w:pPr>
        <w:jc w:val="center"/>
        <w:rPr>
          <w:b/>
          <w:lang w:val="en-GB"/>
        </w:rPr>
      </w:pPr>
    </w:p>
    <w:tbl>
      <w:tblPr>
        <w:tblW w:w="0" w:type="auto"/>
        <w:tblLook w:val="01E0" w:firstRow="1" w:lastRow="1" w:firstColumn="1" w:lastColumn="1" w:noHBand="0" w:noVBand="0"/>
      </w:tblPr>
      <w:tblGrid>
        <w:gridCol w:w="9242"/>
      </w:tblGrid>
      <w:tr w:rsidR="00355E0E" w:rsidRPr="00E4438D" w:rsidTr="002118FA">
        <w:tc>
          <w:tcPr>
            <w:tcW w:w="9242" w:type="dxa"/>
            <w:tcBorders>
              <w:top w:val="single" w:sz="4" w:space="0" w:color="auto"/>
              <w:left w:val="single" w:sz="4" w:space="0" w:color="auto"/>
              <w:bottom w:val="single" w:sz="4" w:space="0" w:color="auto"/>
              <w:right w:val="single" w:sz="4" w:space="0" w:color="auto"/>
            </w:tcBorders>
          </w:tcPr>
          <w:p w:rsidR="00355E0E" w:rsidRPr="00E4438D" w:rsidRDefault="00355E0E" w:rsidP="002118FA">
            <w:pPr>
              <w:textAlignment w:val="auto"/>
              <w:rPr>
                <w:i/>
                <w:lang w:val="en-GB"/>
              </w:rPr>
            </w:pPr>
            <w:r w:rsidRPr="00E4438D">
              <w:rPr>
                <w:i/>
                <w:lang w:val="en-GB"/>
              </w:rPr>
              <w:t>The annual Impact Report of the European Committee of the Regions</w:t>
            </w:r>
            <w:r w:rsidR="00C3229E" w:rsidRPr="00E4438D">
              <w:rPr>
                <w:i/>
                <w:lang w:val="en-GB"/>
              </w:rPr>
              <w:t xml:space="preserve"> (CoR)</w:t>
            </w:r>
            <w:r w:rsidRPr="00E4438D">
              <w:rPr>
                <w:i/>
                <w:lang w:val="en-GB"/>
              </w:rPr>
              <w:t xml:space="preserve"> is an important milestone in the political year, </w:t>
            </w:r>
            <w:r w:rsidR="00414544" w:rsidRPr="00E4438D">
              <w:rPr>
                <w:i/>
                <w:lang w:val="en-GB"/>
              </w:rPr>
              <w:t>an opportunity</w:t>
            </w:r>
            <w:r w:rsidRPr="00E4438D">
              <w:rPr>
                <w:i/>
                <w:lang w:val="en-GB"/>
              </w:rPr>
              <w:t xml:space="preserve"> to take stock of the political achievements of CoR members. 2014 was an unusual year for the European Union. Due to European Parliament </w:t>
            </w:r>
            <w:r w:rsidR="00AE403B" w:rsidRPr="00E4438D">
              <w:rPr>
                <w:i/>
                <w:lang w:val="en-GB"/>
              </w:rPr>
              <w:t xml:space="preserve">elections </w:t>
            </w:r>
            <w:r w:rsidRPr="00E4438D">
              <w:rPr>
                <w:i/>
                <w:lang w:val="en-GB"/>
              </w:rPr>
              <w:t xml:space="preserve">and the </w:t>
            </w:r>
            <w:r w:rsidR="00AE403B" w:rsidRPr="00E4438D">
              <w:rPr>
                <w:i/>
                <w:lang w:val="en-GB"/>
              </w:rPr>
              <w:t>establishment</w:t>
            </w:r>
            <w:r w:rsidRPr="00E4438D">
              <w:rPr>
                <w:i/>
                <w:lang w:val="en-GB"/>
              </w:rPr>
              <w:t xml:space="preserve"> of a new European Commission, the legislative work carried out was limited in comparison with previous years. During this period, which also coincided with </w:t>
            </w:r>
            <w:r w:rsidR="00587FE7" w:rsidRPr="00E4438D">
              <w:rPr>
                <w:i/>
                <w:lang w:val="en-GB"/>
              </w:rPr>
              <w:t>the</w:t>
            </w:r>
            <w:r w:rsidRPr="00E4438D">
              <w:rPr>
                <w:i/>
                <w:lang w:val="en-GB"/>
              </w:rPr>
              <w:t xml:space="preserve"> end of </w:t>
            </w:r>
            <w:r w:rsidR="00587FE7" w:rsidRPr="00E4438D">
              <w:rPr>
                <w:i/>
                <w:lang w:val="en-GB"/>
              </w:rPr>
              <w:t>its term of office</w:t>
            </w:r>
            <w:r w:rsidRPr="00E4438D">
              <w:rPr>
                <w:i/>
                <w:lang w:val="en-GB"/>
              </w:rPr>
              <w:t>, the Co</w:t>
            </w:r>
            <w:r w:rsidR="00280700" w:rsidRPr="00E4438D">
              <w:rPr>
                <w:i/>
                <w:lang w:val="en-GB"/>
              </w:rPr>
              <w:t>R</w:t>
            </w:r>
            <w:r w:rsidRPr="00E4438D">
              <w:rPr>
                <w:i/>
                <w:lang w:val="en-GB"/>
              </w:rPr>
              <w:t xml:space="preserve"> </w:t>
            </w:r>
            <w:r w:rsidR="00AE403B" w:rsidRPr="00E4438D">
              <w:rPr>
                <w:i/>
                <w:lang w:val="en-GB"/>
              </w:rPr>
              <w:t xml:space="preserve">was </w:t>
            </w:r>
            <w:r w:rsidRPr="00E4438D">
              <w:rPr>
                <w:i/>
                <w:lang w:val="en-GB"/>
              </w:rPr>
              <w:t xml:space="preserve">still </w:t>
            </w:r>
            <w:r w:rsidR="00AE403B" w:rsidRPr="00E4438D">
              <w:rPr>
                <w:i/>
                <w:lang w:val="en-GB"/>
              </w:rPr>
              <w:t xml:space="preserve">well able </w:t>
            </w:r>
            <w:r w:rsidRPr="00E4438D">
              <w:rPr>
                <w:i/>
                <w:lang w:val="en-GB"/>
              </w:rPr>
              <w:t>to communicate its key messages to the E</w:t>
            </w:r>
            <w:r w:rsidR="00C3229E" w:rsidRPr="00E4438D">
              <w:rPr>
                <w:i/>
                <w:lang w:val="en-GB"/>
              </w:rPr>
              <w:t xml:space="preserve">uropean </w:t>
            </w:r>
            <w:r w:rsidRPr="00E4438D">
              <w:rPr>
                <w:i/>
                <w:lang w:val="en-GB"/>
              </w:rPr>
              <w:t>P</w:t>
            </w:r>
            <w:r w:rsidR="00C3229E" w:rsidRPr="00E4438D">
              <w:rPr>
                <w:i/>
                <w:lang w:val="en-GB"/>
              </w:rPr>
              <w:t>arliame</w:t>
            </w:r>
            <w:r w:rsidR="00DE5B36" w:rsidRPr="00E4438D">
              <w:rPr>
                <w:i/>
                <w:lang w:val="en-GB"/>
              </w:rPr>
              <w:t>n</w:t>
            </w:r>
            <w:r w:rsidR="00C3229E" w:rsidRPr="00E4438D">
              <w:rPr>
                <w:i/>
                <w:lang w:val="en-GB"/>
              </w:rPr>
              <w:t>t</w:t>
            </w:r>
            <w:r w:rsidRPr="00E4438D">
              <w:rPr>
                <w:i/>
                <w:lang w:val="en-GB"/>
              </w:rPr>
              <w:t xml:space="preserve"> and </w:t>
            </w:r>
            <w:r w:rsidR="00280700" w:rsidRPr="00E4438D">
              <w:rPr>
                <w:i/>
                <w:lang w:val="en-GB"/>
              </w:rPr>
              <w:t xml:space="preserve">the </w:t>
            </w:r>
            <w:r w:rsidRPr="00E4438D">
              <w:rPr>
                <w:i/>
                <w:lang w:val="en-GB"/>
              </w:rPr>
              <w:t>Council</w:t>
            </w:r>
            <w:r w:rsidR="004F1474" w:rsidRPr="00E4438D">
              <w:rPr>
                <w:i/>
                <w:lang w:val="en-GB"/>
              </w:rPr>
              <w:t xml:space="preserve"> and </w:t>
            </w:r>
            <w:r w:rsidR="00455EEC" w:rsidRPr="00E4438D">
              <w:rPr>
                <w:i/>
                <w:lang w:val="en-GB"/>
              </w:rPr>
              <w:t xml:space="preserve">got </w:t>
            </w:r>
            <w:r w:rsidR="00280700" w:rsidRPr="00E4438D">
              <w:rPr>
                <w:i/>
                <w:lang w:val="en-GB"/>
              </w:rPr>
              <w:t xml:space="preserve">actively </w:t>
            </w:r>
            <w:r w:rsidR="00455EEC" w:rsidRPr="00E4438D">
              <w:rPr>
                <w:i/>
                <w:lang w:val="en-GB"/>
              </w:rPr>
              <w:t xml:space="preserve">involved in the hearings of the candidates for the new European Commission </w:t>
            </w:r>
            <w:r w:rsidR="004F1474" w:rsidRPr="00E4438D">
              <w:rPr>
                <w:i/>
                <w:lang w:val="en-GB"/>
              </w:rPr>
              <w:t>passing</w:t>
            </w:r>
            <w:r w:rsidR="00455EEC" w:rsidRPr="00E4438D">
              <w:rPr>
                <w:i/>
                <w:lang w:val="en-GB"/>
              </w:rPr>
              <w:t xml:space="preserve"> on its political</w:t>
            </w:r>
            <w:r w:rsidR="00DE5B36" w:rsidRPr="00E4438D">
              <w:rPr>
                <w:i/>
                <w:lang w:val="en-GB"/>
              </w:rPr>
              <w:t xml:space="preserve"> </w:t>
            </w:r>
            <w:r w:rsidR="00455EEC" w:rsidRPr="00E4438D">
              <w:rPr>
                <w:i/>
                <w:lang w:val="en-GB"/>
              </w:rPr>
              <w:t xml:space="preserve">messages to the </w:t>
            </w:r>
            <w:r w:rsidR="00DE5B36" w:rsidRPr="00E4438D">
              <w:rPr>
                <w:i/>
                <w:lang w:val="en-GB"/>
              </w:rPr>
              <w:t>m</w:t>
            </w:r>
            <w:r w:rsidR="00455EEC" w:rsidRPr="00E4438D">
              <w:rPr>
                <w:i/>
                <w:lang w:val="en-GB"/>
              </w:rPr>
              <w:t>embers of the European P</w:t>
            </w:r>
            <w:r w:rsidR="004F1474" w:rsidRPr="00E4438D">
              <w:rPr>
                <w:i/>
                <w:lang w:val="en-GB"/>
              </w:rPr>
              <w:t>arliament and the candidates them</w:t>
            </w:r>
            <w:r w:rsidR="00455EEC" w:rsidRPr="00E4438D">
              <w:rPr>
                <w:i/>
                <w:lang w:val="en-GB"/>
              </w:rPr>
              <w:t>sel</w:t>
            </w:r>
            <w:r w:rsidR="004F1474" w:rsidRPr="00E4438D">
              <w:rPr>
                <w:i/>
                <w:lang w:val="en-GB"/>
              </w:rPr>
              <w:t>ves</w:t>
            </w:r>
            <w:r w:rsidR="00455EEC" w:rsidRPr="00E4438D">
              <w:rPr>
                <w:i/>
                <w:lang w:val="en-GB"/>
              </w:rPr>
              <w:t xml:space="preserve">. </w:t>
            </w:r>
          </w:p>
          <w:p w:rsidR="00355E0E" w:rsidRPr="00E4438D" w:rsidRDefault="00355E0E" w:rsidP="002118FA">
            <w:pPr>
              <w:textAlignment w:val="auto"/>
              <w:rPr>
                <w:i/>
                <w:lang w:val="en-GB"/>
              </w:rPr>
            </w:pPr>
          </w:p>
          <w:p w:rsidR="00355E0E" w:rsidRPr="00E4438D" w:rsidRDefault="00F45AC7" w:rsidP="002118FA">
            <w:pPr>
              <w:textAlignment w:val="auto"/>
              <w:rPr>
                <w:i/>
                <w:lang w:val="en-GB"/>
              </w:rPr>
            </w:pPr>
            <w:r w:rsidRPr="00E4438D">
              <w:rPr>
                <w:i/>
                <w:lang w:val="en-GB"/>
              </w:rPr>
              <w:t xml:space="preserve">Over </w:t>
            </w:r>
            <w:r w:rsidR="00355E0E" w:rsidRPr="00E4438D">
              <w:rPr>
                <w:i/>
                <w:lang w:val="en-GB"/>
              </w:rPr>
              <w:t xml:space="preserve">the past year, the European Commission has dedicated much of its time to preparing and analysing future initiatives and legislative proposals. All pending proposals have been reviewed with a view to confirming or withdrawing some of them and thus lightening the regulatory load. </w:t>
            </w:r>
            <w:r w:rsidRPr="00E4438D">
              <w:rPr>
                <w:i/>
                <w:lang w:val="en-GB"/>
              </w:rPr>
              <w:t xml:space="preserve">Fewer </w:t>
            </w:r>
            <w:r w:rsidR="00355E0E" w:rsidRPr="00E4438D">
              <w:rPr>
                <w:i/>
                <w:lang w:val="en-GB"/>
              </w:rPr>
              <w:t xml:space="preserve">referrals coming from the European </w:t>
            </w:r>
            <w:r w:rsidRPr="00E4438D">
              <w:rPr>
                <w:i/>
                <w:lang w:val="en-GB"/>
              </w:rPr>
              <w:t>C</w:t>
            </w:r>
            <w:r w:rsidR="00355E0E" w:rsidRPr="00E4438D">
              <w:rPr>
                <w:i/>
                <w:lang w:val="en-GB"/>
              </w:rPr>
              <w:t>ommission means that the CoR commissions more often act</w:t>
            </w:r>
            <w:r w:rsidR="00DE5B36" w:rsidRPr="00E4438D">
              <w:rPr>
                <w:i/>
                <w:lang w:val="en-GB"/>
              </w:rPr>
              <w:t xml:space="preserve"> </w:t>
            </w:r>
            <w:r w:rsidR="00F61C22" w:rsidRPr="00E4438D">
              <w:rPr>
                <w:i/>
                <w:lang w:val="en-GB"/>
              </w:rPr>
              <w:t xml:space="preserve">via </w:t>
            </w:r>
            <w:r w:rsidR="00355E0E" w:rsidRPr="00E4438D">
              <w:rPr>
                <w:i/>
                <w:lang w:val="en-GB"/>
              </w:rPr>
              <w:t>own-initiative opinions</w:t>
            </w:r>
            <w:r w:rsidR="00DE5B36" w:rsidRPr="00E4438D">
              <w:rPr>
                <w:i/>
                <w:lang w:val="en-GB"/>
              </w:rPr>
              <w:t xml:space="preserve"> </w:t>
            </w:r>
            <w:r w:rsidR="00355E0E" w:rsidRPr="00E4438D">
              <w:rPr>
                <w:i/>
                <w:lang w:val="en-GB"/>
              </w:rPr>
              <w:t xml:space="preserve">or </w:t>
            </w:r>
            <w:r w:rsidR="00455EEC" w:rsidRPr="00E4438D">
              <w:rPr>
                <w:i/>
                <w:lang w:val="en-GB"/>
              </w:rPr>
              <w:t xml:space="preserve">engage in </w:t>
            </w:r>
            <w:r w:rsidR="00355E0E" w:rsidRPr="00E4438D">
              <w:rPr>
                <w:i/>
                <w:lang w:val="en-GB"/>
              </w:rPr>
              <w:t>other political activities</w:t>
            </w:r>
            <w:r w:rsidR="00455EEC" w:rsidRPr="00E4438D">
              <w:rPr>
                <w:i/>
                <w:lang w:val="en-GB"/>
              </w:rPr>
              <w:t xml:space="preserve"> involving the other EU institutions</w:t>
            </w:r>
            <w:r w:rsidR="00355E0E" w:rsidRPr="00E4438D">
              <w:rPr>
                <w:i/>
                <w:lang w:val="en-GB"/>
              </w:rPr>
              <w:t xml:space="preserve">. This trend will most probably increase </w:t>
            </w:r>
            <w:r w:rsidR="00455EEC" w:rsidRPr="00E4438D">
              <w:rPr>
                <w:i/>
                <w:lang w:val="en-GB"/>
              </w:rPr>
              <w:t xml:space="preserve">this </w:t>
            </w:r>
            <w:r w:rsidR="00355E0E" w:rsidRPr="00E4438D">
              <w:rPr>
                <w:i/>
                <w:lang w:val="en-GB"/>
              </w:rPr>
              <w:t>year.</w:t>
            </w:r>
          </w:p>
          <w:p w:rsidR="00355E0E" w:rsidRPr="00E4438D" w:rsidRDefault="00355E0E" w:rsidP="002118FA">
            <w:pPr>
              <w:textAlignment w:val="auto"/>
              <w:rPr>
                <w:i/>
                <w:lang w:val="en-GB"/>
              </w:rPr>
            </w:pPr>
          </w:p>
          <w:p w:rsidR="00355E0E" w:rsidRPr="00E4438D" w:rsidRDefault="005F75CB" w:rsidP="002118FA">
            <w:pPr>
              <w:textAlignment w:val="auto"/>
              <w:rPr>
                <w:i/>
                <w:lang w:val="en-GB"/>
              </w:rPr>
            </w:pPr>
            <w:r w:rsidRPr="00E4438D">
              <w:rPr>
                <w:i/>
                <w:lang w:val="en-GB"/>
              </w:rPr>
              <w:t>However</w:t>
            </w:r>
            <w:r w:rsidR="00355E0E" w:rsidRPr="00E4438D">
              <w:rPr>
                <w:i/>
                <w:lang w:val="en-GB"/>
              </w:rPr>
              <w:t xml:space="preserve">, the main task </w:t>
            </w:r>
            <w:r w:rsidR="00637E5B" w:rsidRPr="00E4438D">
              <w:rPr>
                <w:i/>
                <w:lang w:val="en-GB"/>
              </w:rPr>
              <w:t xml:space="preserve">assigned </w:t>
            </w:r>
            <w:r w:rsidR="00355E0E" w:rsidRPr="00E4438D">
              <w:rPr>
                <w:i/>
                <w:lang w:val="en-GB"/>
              </w:rPr>
              <w:t>to the Co</w:t>
            </w:r>
            <w:r w:rsidR="00280700" w:rsidRPr="00E4438D">
              <w:rPr>
                <w:i/>
                <w:lang w:val="en-GB"/>
              </w:rPr>
              <w:t>R</w:t>
            </w:r>
            <w:r w:rsidR="00355E0E" w:rsidRPr="00E4438D">
              <w:rPr>
                <w:i/>
                <w:lang w:val="en-GB"/>
              </w:rPr>
              <w:t xml:space="preserve"> by the Treaty on the Functioning of the E</w:t>
            </w:r>
            <w:r w:rsidR="00F45AC7" w:rsidRPr="00E4438D">
              <w:rPr>
                <w:i/>
                <w:lang w:val="en-GB"/>
              </w:rPr>
              <w:t xml:space="preserve">uropean </w:t>
            </w:r>
            <w:r w:rsidR="00355E0E" w:rsidRPr="00E4438D">
              <w:rPr>
                <w:i/>
                <w:lang w:val="en-GB"/>
              </w:rPr>
              <w:t>U</w:t>
            </w:r>
            <w:r w:rsidR="00F45AC7" w:rsidRPr="00E4438D">
              <w:rPr>
                <w:i/>
                <w:lang w:val="en-GB"/>
              </w:rPr>
              <w:t>nion</w:t>
            </w:r>
            <w:r w:rsidR="00355E0E" w:rsidRPr="00E4438D">
              <w:rPr>
                <w:i/>
                <w:lang w:val="en-GB"/>
              </w:rPr>
              <w:t xml:space="preserve"> (TFEU) is to issue opinions. The CoR must continue to</w:t>
            </w:r>
            <w:r w:rsidR="00280700" w:rsidRPr="00E4438D">
              <w:rPr>
                <w:i/>
                <w:lang w:val="en-GB"/>
              </w:rPr>
              <w:t xml:space="preserve"> issue</w:t>
            </w:r>
            <w:r w:rsidR="00355E0E" w:rsidRPr="00E4438D">
              <w:rPr>
                <w:i/>
                <w:lang w:val="en-GB"/>
              </w:rPr>
              <w:t xml:space="preserve"> relevant contributions to the inter</w:t>
            </w:r>
            <w:r w:rsidR="00C3229E" w:rsidRPr="00E4438D">
              <w:rPr>
                <w:i/>
                <w:lang w:val="en-GB"/>
              </w:rPr>
              <w:t>-</w:t>
            </w:r>
            <w:r w:rsidR="00355E0E" w:rsidRPr="00E4438D">
              <w:rPr>
                <w:i/>
                <w:lang w:val="en-GB"/>
              </w:rPr>
              <w:t xml:space="preserve">institutional decision making process and to convey local and regional perspectives. </w:t>
            </w:r>
          </w:p>
          <w:p w:rsidR="00355E0E" w:rsidRPr="00E4438D" w:rsidRDefault="00355E0E" w:rsidP="002118FA">
            <w:pPr>
              <w:textAlignment w:val="auto"/>
              <w:rPr>
                <w:i/>
                <w:lang w:val="en-GB"/>
              </w:rPr>
            </w:pPr>
          </w:p>
          <w:p w:rsidR="00355E0E" w:rsidRPr="00E4438D" w:rsidRDefault="00355E0E" w:rsidP="00455EEC">
            <w:pPr>
              <w:textAlignment w:val="auto"/>
              <w:rPr>
                <w:b/>
                <w:szCs w:val="22"/>
                <w:lang w:val="en-GB"/>
              </w:rPr>
            </w:pPr>
            <w:r w:rsidRPr="00E4438D">
              <w:rPr>
                <w:i/>
                <w:lang w:val="en-GB"/>
              </w:rPr>
              <w:t xml:space="preserve">As part of this new approach to consultation, the CoR commissions will need to monitor and politically assess the activities and intentions of the European Commission. They may call on the </w:t>
            </w:r>
            <w:r w:rsidR="00C3229E" w:rsidRPr="00E4438D">
              <w:rPr>
                <w:i/>
                <w:lang w:val="en-GB"/>
              </w:rPr>
              <w:t xml:space="preserve">European </w:t>
            </w:r>
            <w:r w:rsidRPr="00E4438D">
              <w:rPr>
                <w:i/>
                <w:lang w:val="en-GB"/>
              </w:rPr>
              <w:t xml:space="preserve">Commission to act where it might not otherwise intend to. This requires a more thoughtful approach to the preparation of own-initiative opinions. </w:t>
            </w:r>
            <w:r w:rsidR="00455EEC" w:rsidRPr="00E4438D">
              <w:rPr>
                <w:i/>
                <w:lang w:val="en-GB"/>
              </w:rPr>
              <w:t xml:space="preserve">The new cooperation agreement with the European Parliament and a more intense dialogue with the Council will also trigger new forms of political action. </w:t>
            </w:r>
            <w:r w:rsidRPr="00E4438D">
              <w:rPr>
                <w:i/>
                <w:lang w:val="en-GB"/>
              </w:rPr>
              <w:t>Moreover, qualitative and quantitative data from the CoR</w:t>
            </w:r>
            <w:r w:rsidR="00A14E96" w:rsidRPr="00E4438D">
              <w:rPr>
                <w:i/>
                <w:lang w:val="en-GB"/>
              </w:rPr>
              <w:t>'</w:t>
            </w:r>
            <w:r w:rsidRPr="00E4438D">
              <w:rPr>
                <w:i/>
                <w:lang w:val="en-GB"/>
              </w:rPr>
              <w:t>s networks and platforms will be able to provide more analytical and evidence-based support. This will substantiate the political messages of CoR commission members</w:t>
            </w:r>
            <w:r w:rsidR="002341A0" w:rsidRPr="00E4438D">
              <w:rPr>
                <w:i/>
                <w:lang w:val="en-GB"/>
              </w:rPr>
              <w:t>,</w:t>
            </w:r>
            <w:r w:rsidRPr="00E4438D">
              <w:rPr>
                <w:i/>
                <w:lang w:val="en-GB"/>
              </w:rPr>
              <w:t xml:space="preserve"> which are transmitted to other EU institutions </w:t>
            </w:r>
            <w:r w:rsidR="00576467" w:rsidRPr="00E4438D">
              <w:rPr>
                <w:i/>
                <w:lang w:val="en-GB"/>
              </w:rPr>
              <w:t xml:space="preserve">via </w:t>
            </w:r>
            <w:r w:rsidRPr="00E4438D">
              <w:rPr>
                <w:i/>
                <w:lang w:val="en-GB"/>
              </w:rPr>
              <w:t>written and oral consultations.</w:t>
            </w:r>
          </w:p>
        </w:tc>
      </w:tr>
    </w:tbl>
    <w:p w:rsidR="00355E0E" w:rsidRPr="00E4438D" w:rsidRDefault="00355E0E" w:rsidP="00355E0E">
      <w:pPr>
        <w:rPr>
          <w:lang w:val="en-GB"/>
        </w:rPr>
      </w:pPr>
    </w:p>
    <w:p w:rsidR="00355E0E" w:rsidRPr="00E4438D" w:rsidRDefault="00355E0E" w:rsidP="00355E0E">
      <w:pPr>
        <w:keepNext/>
        <w:keepLines/>
        <w:rPr>
          <w:b/>
          <w:lang w:val="en-GB"/>
        </w:rPr>
      </w:pPr>
      <w:r w:rsidRPr="00E4438D">
        <w:rPr>
          <w:b/>
          <w:lang w:val="en-GB"/>
        </w:rPr>
        <w:t>INTRODUCTION</w:t>
      </w:r>
    </w:p>
    <w:p w:rsidR="00355E0E" w:rsidRPr="00E4438D" w:rsidRDefault="00355E0E" w:rsidP="00355E0E">
      <w:pPr>
        <w:keepNext/>
        <w:keepLines/>
        <w:widowControl w:val="0"/>
        <w:tabs>
          <w:tab w:val="left" w:pos="550"/>
        </w:tabs>
        <w:outlineLvl w:val="0"/>
        <w:rPr>
          <w:lang w:val="en-GB"/>
        </w:rPr>
      </w:pPr>
    </w:p>
    <w:p w:rsidR="00355E0E" w:rsidRPr="00E4438D" w:rsidRDefault="00355E0E" w:rsidP="00355E0E">
      <w:pPr>
        <w:keepNext/>
        <w:keepLines/>
        <w:widowControl w:val="0"/>
        <w:tabs>
          <w:tab w:val="left" w:pos="550"/>
        </w:tabs>
        <w:outlineLvl w:val="0"/>
        <w:rPr>
          <w:lang w:val="en-GB"/>
        </w:rPr>
      </w:pPr>
      <w:r w:rsidRPr="00E4438D">
        <w:rPr>
          <w:lang w:val="en-GB"/>
        </w:rPr>
        <w:t>Under Article 60 of the Rules of Procedure, the secretary-general has to submit a report on the impact of Committee opinions at least once a year to the plenary assembly.</w:t>
      </w:r>
    </w:p>
    <w:p w:rsidR="00355E0E" w:rsidRPr="00E4438D" w:rsidRDefault="00355E0E" w:rsidP="00355E0E">
      <w:pPr>
        <w:keepNext/>
        <w:widowControl w:val="0"/>
        <w:tabs>
          <w:tab w:val="left" w:pos="550"/>
        </w:tabs>
        <w:outlineLvl w:val="0"/>
        <w:rPr>
          <w:lang w:val="en-GB"/>
        </w:rPr>
      </w:pPr>
    </w:p>
    <w:p w:rsidR="00355E0E" w:rsidRPr="00E4438D" w:rsidRDefault="00355E0E" w:rsidP="00355E0E">
      <w:pPr>
        <w:keepNext/>
        <w:widowControl w:val="0"/>
        <w:tabs>
          <w:tab w:val="left" w:pos="550"/>
        </w:tabs>
        <w:outlineLvl w:val="0"/>
        <w:rPr>
          <w:lang w:val="en-GB"/>
        </w:rPr>
      </w:pPr>
      <w:r w:rsidRPr="00E4438D">
        <w:rPr>
          <w:lang w:val="en-GB"/>
        </w:rPr>
        <w:t>A total of 53 opinions with a significant impact in 2014 are included in this report. The following criteria were used to define the "impact" of opinion</w:t>
      </w:r>
      <w:r w:rsidR="003D1342" w:rsidRPr="00E4438D">
        <w:rPr>
          <w:lang w:val="en-GB"/>
        </w:rPr>
        <w:t>s</w:t>
      </w:r>
      <w:r w:rsidRPr="00E4438D">
        <w:rPr>
          <w:lang w:val="en-GB"/>
        </w:rPr>
        <w:t xml:space="preserve">: specific </w:t>
      </w:r>
      <w:r w:rsidR="003D1342" w:rsidRPr="00E4438D">
        <w:rPr>
          <w:lang w:val="en-GB"/>
        </w:rPr>
        <w:t xml:space="preserve">CoR </w:t>
      </w:r>
      <w:r w:rsidRPr="00E4438D">
        <w:rPr>
          <w:lang w:val="en-GB"/>
        </w:rPr>
        <w:t xml:space="preserve">proposals </w:t>
      </w:r>
      <w:r w:rsidR="003D1342" w:rsidRPr="00E4438D">
        <w:rPr>
          <w:lang w:val="en-GB"/>
        </w:rPr>
        <w:t xml:space="preserve">incorporated </w:t>
      </w:r>
      <w:r w:rsidRPr="00E4438D">
        <w:rPr>
          <w:lang w:val="en-GB"/>
        </w:rPr>
        <w:t>in</w:t>
      </w:r>
      <w:r w:rsidR="003D1342" w:rsidRPr="00E4438D">
        <w:rPr>
          <w:lang w:val="en-GB"/>
        </w:rPr>
        <w:t>to</w:t>
      </w:r>
      <w:r w:rsidRPr="00E4438D">
        <w:rPr>
          <w:lang w:val="en-GB"/>
        </w:rPr>
        <w:t xml:space="preserve"> final legislation; CoR policy recommendations considered in proposed legislation or in legislative procedures; CoR positions which have made a major contribution </w:t>
      </w:r>
      <w:r w:rsidR="00375C79" w:rsidRPr="00E4438D">
        <w:rPr>
          <w:lang w:val="en-GB"/>
        </w:rPr>
        <w:t xml:space="preserve">to </w:t>
      </w:r>
      <w:r w:rsidRPr="00E4438D">
        <w:rPr>
          <w:lang w:val="en-GB"/>
        </w:rPr>
        <w:t>ongoing political debates</w:t>
      </w:r>
      <w:r w:rsidR="003D1342" w:rsidRPr="00E4438D">
        <w:rPr>
          <w:lang w:val="en-GB"/>
        </w:rPr>
        <w:t>;</w:t>
      </w:r>
      <w:r w:rsidRPr="00E4438D">
        <w:rPr>
          <w:lang w:val="en-GB"/>
        </w:rPr>
        <w:t xml:space="preserve"> and references made to CoR positions in other EU documents, </w:t>
      </w:r>
      <w:r w:rsidR="003D1342" w:rsidRPr="00E4438D">
        <w:rPr>
          <w:lang w:val="en-GB"/>
        </w:rPr>
        <w:t>such as</w:t>
      </w:r>
      <w:r w:rsidRPr="00E4438D">
        <w:rPr>
          <w:lang w:val="en-GB"/>
        </w:rPr>
        <w:t xml:space="preserve"> resolutions of the European Parliament. </w:t>
      </w:r>
    </w:p>
    <w:p w:rsidR="00355E0E" w:rsidRPr="00E4438D" w:rsidRDefault="00355E0E" w:rsidP="00355E0E">
      <w:pPr>
        <w:tabs>
          <w:tab w:val="left" w:pos="550"/>
        </w:tabs>
        <w:outlineLvl w:val="0"/>
        <w:rPr>
          <w:lang w:val="en-GB"/>
        </w:rPr>
      </w:pPr>
    </w:p>
    <w:p w:rsidR="00355E0E" w:rsidRPr="00E4438D" w:rsidRDefault="00355E0E" w:rsidP="00355E0E">
      <w:pPr>
        <w:rPr>
          <w:b/>
          <w:lang w:val="en-GB"/>
        </w:rPr>
      </w:pPr>
      <w:r w:rsidRPr="00E4438D">
        <w:rPr>
          <w:b/>
          <w:lang w:val="en-GB"/>
        </w:rPr>
        <w:t>EXECUTIVE SUMMARY</w:t>
      </w:r>
    </w:p>
    <w:p w:rsidR="00355E0E" w:rsidRPr="00E4438D" w:rsidRDefault="00355E0E" w:rsidP="00355E0E">
      <w:pPr>
        <w:tabs>
          <w:tab w:val="left" w:pos="550"/>
        </w:tabs>
        <w:outlineLvl w:val="0"/>
        <w:rPr>
          <w:lang w:val="en-GB"/>
        </w:rPr>
      </w:pPr>
    </w:p>
    <w:p w:rsidR="00355E0E" w:rsidRPr="00E4438D" w:rsidRDefault="00355E0E" w:rsidP="00355E0E">
      <w:pPr>
        <w:tabs>
          <w:tab w:val="left" w:pos="550"/>
        </w:tabs>
        <w:outlineLvl w:val="0"/>
        <w:rPr>
          <w:lang w:val="en-GB"/>
        </w:rPr>
      </w:pPr>
      <w:r w:rsidRPr="00E4438D">
        <w:rPr>
          <w:lang w:val="en-GB"/>
        </w:rPr>
        <w:t>The Co</w:t>
      </w:r>
      <w:r w:rsidR="00C3229E" w:rsidRPr="00E4438D">
        <w:rPr>
          <w:lang w:val="en-GB"/>
        </w:rPr>
        <w:t xml:space="preserve">R </w:t>
      </w:r>
      <w:r w:rsidRPr="00E4438D">
        <w:rPr>
          <w:lang w:val="en-GB"/>
        </w:rPr>
        <w:t xml:space="preserve">performed well in achieving political impact in 2014, </w:t>
      </w:r>
      <w:r w:rsidR="007267A5" w:rsidRPr="00E4438D">
        <w:rPr>
          <w:lang w:val="en-GB"/>
        </w:rPr>
        <w:t>thanks to</w:t>
      </w:r>
      <w:r w:rsidRPr="00E4438D">
        <w:rPr>
          <w:lang w:val="en-GB"/>
        </w:rPr>
        <w:t xml:space="preserve"> targeted strategic political planning, </w:t>
      </w:r>
      <w:r w:rsidR="00CF0C7E" w:rsidRPr="00E4438D">
        <w:rPr>
          <w:lang w:val="en-GB"/>
        </w:rPr>
        <w:t xml:space="preserve">the </w:t>
      </w:r>
      <w:r w:rsidRPr="00E4438D">
        <w:rPr>
          <w:lang w:val="en-GB"/>
        </w:rPr>
        <w:t xml:space="preserve">strong </w:t>
      </w:r>
      <w:r w:rsidR="00CF0C7E" w:rsidRPr="00E4438D">
        <w:rPr>
          <w:lang w:val="en-GB"/>
        </w:rPr>
        <w:t xml:space="preserve">involvement </w:t>
      </w:r>
      <w:r w:rsidRPr="00E4438D">
        <w:rPr>
          <w:lang w:val="en-GB"/>
        </w:rPr>
        <w:t>of members and their political groups</w:t>
      </w:r>
      <w:r w:rsidR="003F4A60" w:rsidRPr="00E4438D">
        <w:rPr>
          <w:lang w:val="en-GB"/>
        </w:rPr>
        <w:t xml:space="preserve"> and national delegations</w:t>
      </w:r>
      <w:r w:rsidRPr="00E4438D">
        <w:rPr>
          <w:lang w:val="en-GB"/>
        </w:rPr>
        <w:t>, and better follow-up for CoR opinions. This executive summary highlights a sample of the CoR's successes in 2014 in some key policy areas. The complete 2014 Impact Report can be found in the annexed document.</w:t>
      </w:r>
    </w:p>
    <w:p w:rsidR="00355E0E" w:rsidRPr="00E4438D" w:rsidRDefault="00355E0E" w:rsidP="00355E0E">
      <w:pPr>
        <w:rPr>
          <w:lang w:val="en-GB"/>
        </w:rPr>
      </w:pPr>
    </w:p>
    <w:p w:rsidR="00355E0E" w:rsidRPr="00E4438D" w:rsidRDefault="00355E0E" w:rsidP="00355E0E">
      <w:pPr>
        <w:rPr>
          <w:b/>
          <w:lang w:val="en-GB"/>
        </w:rPr>
      </w:pPr>
      <w:r w:rsidRPr="00E4438D">
        <w:rPr>
          <w:b/>
          <w:lang w:val="en-GB"/>
        </w:rPr>
        <w:t>Multiannual Financial Framework and EU Budget</w:t>
      </w:r>
    </w:p>
    <w:p w:rsidR="00355E0E" w:rsidRPr="00E4438D" w:rsidRDefault="00355E0E" w:rsidP="00355E0E">
      <w:pPr>
        <w:rPr>
          <w:b/>
          <w:lang w:val="en-GB"/>
        </w:rPr>
      </w:pPr>
    </w:p>
    <w:p w:rsidR="00355E0E" w:rsidRPr="00E4438D" w:rsidRDefault="00355E0E" w:rsidP="00355E0E">
      <w:pPr>
        <w:rPr>
          <w:lang w:val="en-GB"/>
        </w:rPr>
      </w:pPr>
      <w:r w:rsidRPr="00E4438D">
        <w:rPr>
          <w:lang w:val="en-GB"/>
        </w:rPr>
        <w:t>In 2014 the CoR continue</w:t>
      </w:r>
      <w:r w:rsidR="00422A4D" w:rsidRPr="00E4438D">
        <w:rPr>
          <w:lang w:val="en-GB"/>
        </w:rPr>
        <w:t>d</w:t>
      </w:r>
      <w:r w:rsidRPr="00E4438D">
        <w:rPr>
          <w:lang w:val="en-GB"/>
        </w:rPr>
        <w:t xml:space="preserve"> to contribute to the debate on the EU budget with its opinion on </w:t>
      </w:r>
      <w:r w:rsidR="00422A4D" w:rsidRPr="00E4438D">
        <w:rPr>
          <w:b/>
          <w:lang w:val="en-GB"/>
        </w:rPr>
        <w:t>The</w:t>
      </w:r>
      <w:r w:rsidR="00422A4D" w:rsidRPr="00E4438D">
        <w:rPr>
          <w:lang w:val="en-GB"/>
        </w:rPr>
        <w:t xml:space="preserve"> </w:t>
      </w:r>
      <w:r w:rsidR="00422A4D" w:rsidRPr="00E4438D">
        <w:rPr>
          <w:b/>
          <w:lang w:val="en-GB"/>
        </w:rPr>
        <w:t>e</w:t>
      </w:r>
      <w:r w:rsidRPr="00E4438D">
        <w:rPr>
          <w:b/>
          <w:lang w:val="en-GB"/>
        </w:rPr>
        <w:t>xecution of the EU Budget</w:t>
      </w:r>
      <w:r w:rsidRPr="00E4438D">
        <w:rPr>
          <w:lang w:val="en-GB"/>
        </w:rPr>
        <w:t>. In line with the requests expressed in th</w:t>
      </w:r>
      <w:r w:rsidR="002C56D1" w:rsidRPr="00E4438D">
        <w:rPr>
          <w:lang w:val="en-GB"/>
        </w:rPr>
        <w:t>is</w:t>
      </w:r>
      <w:r w:rsidRPr="00E4438D">
        <w:rPr>
          <w:lang w:val="en-GB"/>
        </w:rPr>
        <w:t xml:space="preserve"> CoR opinion, the European Commission has set up an "absorption task force" which provides technical support and enables those Member States who had unused commitments from the 2007-2013 period to share best practice</w:t>
      </w:r>
      <w:r w:rsidR="00D94F7D" w:rsidRPr="00E4438D">
        <w:rPr>
          <w:lang w:val="en-GB"/>
        </w:rPr>
        <w:t>s</w:t>
      </w:r>
      <w:r w:rsidRPr="00E4438D">
        <w:rPr>
          <w:lang w:val="en-GB"/>
        </w:rPr>
        <w:t>.</w:t>
      </w:r>
    </w:p>
    <w:p w:rsidR="00355E0E" w:rsidRPr="00E4438D" w:rsidRDefault="00355E0E" w:rsidP="00355E0E">
      <w:pPr>
        <w:rPr>
          <w:b/>
          <w:lang w:val="en-GB"/>
        </w:rPr>
      </w:pPr>
    </w:p>
    <w:p w:rsidR="00355E0E" w:rsidRPr="00E4438D" w:rsidRDefault="00355E0E" w:rsidP="00355E0E">
      <w:pPr>
        <w:rPr>
          <w:b/>
          <w:lang w:val="en-GB"/>
        </w:rPr>
      </w:pPr>
      <w:r w:rsidRPr="00E4438D">
        <w:rPr>
          <w:b/>
          <w:lang w:val="en-GB"/>
        </w:rPr>
        <w:t>Economic and Monetary Union and European Semester</w:t>
      </w:r>
    </w:p>
    <w:p w:rsidR="00355E0E" w:rsidRPr="00E4438D" w:rsidRDefault="00355E0E" w:rsidP="00355E0E">
      <w:pPr>
        <w:rPr>
          <w:b/>
          <w:lang w:val="en-GB"/>
        </w:rPr>
      </w:pPr>
    </w:p>
    <w:p w:rsidR="00355E0E" w:rsidRPr="00E4438D" w:rsidRDefault="00355E0E" w:rsidP="00355E0E">
      <w:pPr>
        <w:rPr>
          <w:bCs/>
          <w:iCs/>
          <w:lang w:val="en-GB" w:bidi="en-GB"/>
        </w:rPr>
      </w:pPr>
      <w:r w:rsidRPr="00E4438D">
        <w:rPr>
          <w:lang w:val="en-GB"/>
        </w:rPr>
        <w:t xml:space="preserve">The CoR opinion on </w:t>
      </w:r>
      <w:r w:rsidRPr="00E4438D">
        <w:rPr>
          <w:b/>
          <w:lang w:val="en-GB"/>
        </w:rPr>
        <w:t>European Long-</w:t>
      </w:r>
      <w:r w:rsidR="00C32A66" w:rsidRPr="00E4438D">
        <w:rPr>
          <w:b/>
          <w:lang w:val="en-GB"/>
        </w:rPr>
        <w:t>t</w:t>
      </w:r>
      <w:r w:rsidRPr="00E4438D">
        <w:rPr>
          <w:b/>
          <w:lang w:val="en-GB"/>
        </w:rPr>
        <w:t>erm Investment Funds</w:t>
      </w:r>
      <w:r w:rsidRPr="00E4438D">
        <w:rPr>
          <w:lang w:val="en-GB"/>
        </w:rPr>
        <w:t xml:space="preserve"> had a direct impact</w:t>
      </w:r>
      <w:r w:rsidR="00C32A66" w:rsidRPr="00E4438D">
        <w:rPr>
          <w:lang w:val="en-GB"/>
        </w:rPr>
        <w:t>,</w:t>
      </w:r>
      <w:r w:rsidRPr="00E4438D">
        <w:rPr>
          <w:lang w:val="en-GB"/>
        </w:rPr>
        <w:t xml:space="preserve"> as the European Parliament's position on the proposal for a regulation reflects several issues raised in it, </w:t>
      </w:r>
      <w:r w:rsidRPr="00E4438D">
        <w:rPr>
          <w:lang w:val="en-GB" w:bidi="en-GB"/>
        </w:rPr>
        <w:t xml:space="preserve">recognising the role of cities and regions as potential beneficiaries of long-term investment </w:t>
      </w:r>
      <w:r w:rsidRPr="00E4438D">
        <w:rPr>
          <w:bCs/>
          <w:iCs/>
          <w:lang w:val="en-GB" w:bidi="en-GB"/>
        </w:rPr>
        <w:t xml:space="preserve">(see 3.1). </w:t>
      </w:r>
    </w:p>
    <w:p w:rsidR="00355E0E" w:rsidRPr="00E4438D" w:rsidRDefault="00355E0E" w:rsidP="00355E0E">
      <w:pPr>
        <w:rPr>
          <w:bCs/>
          <w:iCs/>
          <w:lang w:val="en-GB" w:bidi="en-GB"/>
        </w:rPr>
      </w:pPr>
    </w:p>
    <w:p w:rsidR="00355E0E" w:rsidRPr="00E4438D" w:rsidRDefault="00355E0E" w:rsidP="00355E0E">
      <w:pPr>
        <w:rPr>
          <w:bCs/>
          <w:iCs/>
          <w:lang w:val="en-GB" w:bidi="en-GB"/>
        </w:rPr>
      </w:pPr>
      <w:r w:rsidRPr="00E4438D">
        <w:rPr>
          <w:bCs/>
          <w:iCs/>
          <w:lang w:val="en-GB" w:bidi="en-GB"/>
        </w:rPr>
        <w:t xml:space="preserve">In relation to </w:t>
      </w:r>
      <w:r w:rsidR="00582702" w:rsidRPr="00E4438D">
        <w:rPr>
          <w:bCs/>
          <w:iCs/>
          <w:lang w:val="en-GB" w:bidi="en-GB"/>
        </w:rPr>
        <w:t>the</w:t>
      </w:r>
      <w:r w:rsidR="00582702" w:rsidRPr="00E4438D">
        <w:rPr>
          <w:b/>
          <w:bCs/>
          <w:iCs/>
          <w:lang w:val="en-GB" w:bidi="en-GB"/>
        </w:rPr>
        <w:t xml:space="preserve"> </w:t>
      </w:r>
      <w:r w:rsidRPr="00E4438D">
        <w:rPr>
          <w:b/>
          <w:bCs/>
          <w:iCs/>
          <w:lang w:val="en-GB" w:bidi="en-GB"/>
        </w:rPr>
        <w:t xml:space="preserve">European Semester and </w:t>
      </w:r>
      <w:r w:rsidR="005F75CB" w:rsidRPr="00E4438D">
        <w:rPr>
          <w:b/>
          <w:bCs/>
          <w:iCs/>
          <w:lang w:val="en-GB" w:bidi="en-GB"/>
        </w:rPr>
        <w:t xml:space="preserve">the </w:t>
      </w:r>
      <w:r w:rsidRPr="00E4438D">
        <w:rPr>
          <w:b/>
          <w:bCs/>
          <w:iCs/>
          <w:lang w:val="en-GB" w:bidi="en-GB"/>
        </w:rPr>
        <w:t>Europe 2020 strategy</w:t>
      </w:r>
      <w:r w:rsidRPr="00E4438D">
        <w:rPr>
          <w:bCs/>
          <w:iCs/>
          <w:lang w:val="en-GB" w:bidi="en-GB"/>
        </w:rPr>
        <w:t xml:space="preserve">, one of the CoR's major concerns was to ensure that the role of cities and regions is properly reflected in all strategic documents. In its resolution on </w:t>
      </w:r>
      <w:r w:rsidRPr="00E4438D">
        <w:rPr>
          <w:bCs/>
          <w:i/>
          <w:iCs/>
          <w:lang w:val="en-GB" w:bidi="en-GB"/>
        </w:rPr>
        <w:t>Employment and social aspects of the Europe 2020 strategy</w:t>
      </w:r>
      <w:r w:rsidRPr="00E4438D">
        <w:rPr>
          <w:bCs/>
          <w:iCs/>
          <w:lang w:val="en-GB" w:bidi="en-GB"/>
        </w:rPr>
        <w:t xml:space="preserve">, the European Parliament "… calls for the involvement of national parliaments and local and regional authorities in the design and implementation of National Reform Programmes, including through multilevel governance arrangements" (see 3.2). </w:t>
      </w:r>
    </w:p>
    <w:p w:rsidR="00355E0E" w:rsidRPr="00E4438D" w:rsidRDefault="00355E0E" w:rsidP="00355E0E">
      <w:pPr>
        <w:rPr>
          <w:bCs/>
          <w:iCs/>
          <w:lang w:val="en-GB" w:bidi="en-GB"/>
        </w:rPr>
      </w:pPr>
    </w:p>
    <w:p w:rsidR="00355E0E" w:rsidRPr="00E4438D" w:rsidRDefault="00355E0E" w:rsidP="00783D79">
      <w:pPr>
        <w:keepNext/>
        <w:rPr>
          <w:b/>
          <w:bCs/>
          <w:iCs/>
          <w:lang w:val="en-GB" w:bidi="en-GB"/>
        </w:rPr>
      </w:pPr>
      <w:r w:rsidRPr="00E4438D">
        <w:rPr>
          <w:b/>
          <w:bCs/>
          <w:iCs/>
          <w:lang w:val="en-GB" w:bidi="en-GB"/>
        </w:rPr>
        <w:lastRenderedPageBreak/>
        <w:t xml:space="preserve">Regional </w:t>
      </w:r>
      <w:r w:rsidR="007737BC" w:rsidRPr="00E4438D">
        <w:rPr>
          <w:b/>
          <w:bCs/>
          <w:iCs/>
          <w:lang w:val="en-GB" w:bidi="en-GB"/>
        </w:rPr>
        <w:t>P</w:t>
      </w:r>
      <w:r w:rsidRPr="00E4438D">
        <w:rPr>
          <w:b/>
          <w:bCs/>
          <w:iCs/>
          <w:lang w:val="en-GB" w:bidi="en-GB"/>
        </w:rPr>
        <w:t xml:space="preserve">olicy </w:t>
      </w:r>
    </w:p>
    <w:p w:rsidR="00355E0E" w:rsidRPr="00E4438D" w:rsidRDefault="00355E0E" w:rsidP="00783D79">
      <w:pPr>
        <w:keepNext/>
        <w:rPr>
          <w:bCs/>
          <w:iCs/>
          <w:lang w:val="en-GB" w:bidi="en-GB"/>
        </w:rPr>
      </w:pPr>
    </w:p>
    <w:p w:rsidR="00355E0E" w:rsidRPr="00E4438D" w:rsidRDefault="00355E0E" w:rsidP="00783D79">
      <w:pPr>
        <w:keepNext/>
        <w:rPr>
          <w:bCs/>
          <w:iCs/>
          <w:lang w:val="en-GB" w:bidi="en-GB"/>
        </w:rPr>
      </w:pPr>
      <w:r w:rsidRPr="00E4438D">
        <w:rPr>
          <w:bCs/>
          <w:iCs/>
          <w:lang w:val="en-GB" w:bidi="en-GB"/>
        </w:rPr>
        <w:t xml:space="preserve">In relation to </w:t>
      </w:r>
      <w:r w:rsidR="005F75CB" w:rsidRPr="00E4438D">
        <w:rPr>
          <w:bCs/>
          <w:iCs/>
          <w:lang w:val="en-GB" w:bidi="en-GB"/>
        </w:rPr>
        <w:t>EU</w:t>
      </w:r>
      <w:r w:rsidR="00DE5B36" w:rsidRPr="00E4438D">
        <w:rPr>
          <w:bCs/>
          <w:iCs/>
          <w:lang w:val="en-GB" w:bidi="en-GB"/>
        </w:rPr>
        <w:t xml:space="preserve"> </w:t>
      </w:r>
      <w:r w:rsidR="00805EB3" w:rsidRPr="00E4438D">
        <w:rPr>
          <w:bCs/>
          <w:iCs/>
          <w:lang w:val="en-GB" w:bidi="en-GB"/>
        </w:rPr>
        <w:t>c</w:t>
      </w:r>
      <w:r w:rsidRPr="00E4438D">
        <w:rPr>
          <w:bCs/>
          <w:iCs/>
          <w:lang w:val="en-GB" w:bidi="en-GB"/>
        </w:rPr>
        <w:t xml:space="preserve">ohesion policy, establishing the </w:t>
      </w:r>
      <w:r w:rsidR="00805EB3" w:rsidRPr="00E4438D">
        <w:rPr>
          <w:bCs/>
          <w:iCs/>
          <w:lang w:val="en-GB" w:bidi="en-GB"/>
        </w:rPr>
        <w:t>c</w:t>
      </w:r>
      <w:r w:rsidRPr="00E4438D">
        <w:rPr>
          <w:bCs/>
          <w:iCs/>
          <w:lang w:val="en-GB" w:bidi="en-GB"/>
        </w:rPr>
        <w:t xml:space="preserve">ode of </w:t>
      </w:r>
      <w:r w:rsidR="00805EB3" w:rsidRPr="00E4438D">
        <w:rPr>
          <w:bCs/>
          <w:iCs/>
          <w:lang w:val="en-GB" w:bidi="en-GB"/>
        </w:rPr>
        <w:t>c</w:t>
      </w:r>
      <w:r w:rsidRPr="00E4438D">
        <w:rPr>
          <w:bCs/>
          <w:iCs/>
          <w:lang w:val="en-GB" w:bidi="en-GB"/>
        </w:rPr>
        <w:t xml:space="preserve">onduct as a delegated act </w:t>
      </w:r>
      <w:r w:rsidR="000D1C02" w:rsidRPr="00E4438D">
        <w:rPr>
          <w:bCs/>
          <w:iCs/>
          <w:lang w:val="en-GB" w:bidi="en-GB"/>
        </w:rPr>
        <w:t>–</w:t>
      </w:r>
      <w:r w:rsidRPr="00E4438D">
        <w:rPr>
          <w:bCs/>
          <w:iCs/>
          <w:lang w:val="en-GB" w:bidi="en-GB"/>
        </w:rPr>
        <w:t xml:space="preserve">strongly advocated by the CoR </w:t>
      </w:r>
      <w:r w:rsidR="000D1C02" w:rsidRPr="00E4438D">
        <w:rPr>
          <w:bCs/>
          <w:iCs/>
          <w:lang w:val="en-GB" w:bidi="en-GB"/>
        </w:rPr>
        <w:t xml:space="preserve">– </w:t>
      </w:r>
      <w:r w:rsidRPr="00E4438D">
        <w:rPr>
          <w:bCs/>
          <w:iCs/>
          <w:lang w:val="en-GB" w:bidi="en-GB"/>
        </w:rPr>
        <w:t xml:space="preserve">can be </w:t>
      </w:r>
      <w:r w:rsidR="00101047" w:rsidRPr="00E4438D">
        <w:rPr>
          <w:bCs/>
          <w:iCs/>
          <w:lang w:val="en-GB" w:bidi="en-GB"/>
        </w:rPr>
        <w:t>deemed</w:t>
      </w:r>
      <w:r w:rsidRPr="00E4438D">
        <w:rPr>
          <w:bCs/>
          <w:iCs/>
          <w:lang w:val="en-GB" w:bidi="en-GB"/>
        </w:rPr>
        <w:t xml:space="preserve"> an important step forward. For the first time, </w:t>
      </w:r>
      <w:r w:rsidR="005F75CB" w:rsidRPr="00E4438D">
        <w:rPr>
          <w:bCs/>
          <w:iCs/>
          <w:lang w:val="en-GB" w:bidi="en-GB"/>
        </w:rPr>
        <w:t xml:space="preserve">the code </w:t>
      </w:r>
      <w:r w:rsidRPr="00E4438D">
        <w:rPr>
          <w:bCs/>
          <w:iCs/>
          <w:lang w:val="en-GB" w:bidi="en-GB"/>
        </w:rPr>
        <w:t xml:space="preserve"> will set out a clear framework for cooperation between all partners involved in the planning and management of the E</w:t>
      </w:r>
      <w:r w:rsidR="00F82655" w:rsidRPr="00E4438D">
        <w:rPr>
          <w:bCs/>
          <w:iCs/>
          <w:lang w:val="en-GB" w:bidi="en-GB"/>
        </w:rPr>
        <w:t>uropean</w:t>
      </w:r>
      <w:r w:rsidRPr="00E4438D">
        <w:rPr>
          <w:bCs/>
          <w:iCs/>
          <w:lang w:val="en-GB" w:bidi="en-GB"/>
        </w:rPr>
        <w:t xml:space="preserve"> Structural and Investment Funds.</w:t>
      </w:r>
    </w:p>
    <w:p w:rsidR="00355E0E" w:rsidRPr="00E4438D" w:rsidRDefault="00355E0E" w:rsidP="00355E0E">
      <w:pPr>
        <w:rPr>
          <w:bCs/>
          <w:iCs/>
          <w:lang w:val="en-GB" w:bidi="en-GB"/>
        </w:rPr>
      </w:pPr>
    </w:p>
    <w:p w:rsidR="00355E0E" w:rsidRPr="00E4438D" w:rsidRDefault="00355E0E" w:rsidP="00355E0E">
      <w:pPr>
        <w:rPr>
          <w:bCs/>
          <w:iCs/>
          <w:lang w:val="en-GB" w:bidi="en-GB"/>
        </w:rPr>
      </w:pPr>
      <w:r w:rsidRPr="00E4438D">
        <w:rPr>
          <w:bCs/>
          <w:iCs/>
          <w:lang w:val="en-GB" w:bidi="en-GB"/>
        </w:rPr>
        <w:t xml:space="preserve">As expressed in the opinion on </w:t>
      </w:r>
      <w:r w:rsidRPr="00E4438D">
        <w:rPr>
          <w:b/>
          <w:bCs/>
          <w:iCs/>
          <w:lang w:val="en-GB" w:bidi="en-GB"/>
        </w:rPr>
        <w:t>The added value of macro-regional strategies</w:t>
      </w:r>
      <w:r w:rsidRPr="00E4438D">
        <w:rPr>
          <w:bCs/>
          <w:iCs/>
          <w:lang w:val="en-GB" w:bidi="en-GB"/>
        </w:rPr>
        <w:t>,</w:t>
      </w:r>
      <w:r w:rsidRPr="00E4438D">
        <w:rPr>
          <w:b/>
          <w:bCs/>
          <w:iCs/>
          <w:lang w:val="en-GB" w:bidi="en-GB"/>
        </w:rPr>
        <w:t xml:space="preserve"> </w:t>
      </w:r>
      <w:r w:rsidRPr="00E4438D">
        <w:rPr>
          <w:bCs/>
          <w:iCs/>
          <w:lang w:val="en-GB" w:bidi="en-GB"/>
        </w:rPr>
        <w:t xml:space="preserve">the European Commission's report on improving the governance of macro-regional strategies considers multilevel governance to be essential </w:t>
      </w:r>
      <w:r w:rsidR="00293CE0" w:rsidRPr="00E4438D">
        <w:rPr>
          <w:bCs/>
          <w:iCs/>
          <w:lang w:val="en-GB" w:bidi="en-GB"/>
        </w:rPr>
        <w:t xml:space="preserve">to </w:t>
      </w:r>
      <w:r w:rsidRPr="00E4438D">
        <w:rPr>
          <w:bCs/>
          <w:iCs/>
          <w:lang w:val="en-GB" w:bidi="en-GB"/>
        </w:rPr>
        <w:t>improving the</w:t>
      </w:r>
      <w:r w:rsidR="001531F7" w:rsidRPr="00E4438D">
        <w:rPr>
          <w:bCs/>
          <w:iCs/>
          <w:lang w:val="en-GB" w:bidi="en-GB"/>
        </w:rPr>
        <w:t>se strategies'</w:t>
      </w:r>
      <w:r w:rsidRPr="00E4438D">
        <w:rPr>
          <w:bCs/>
          <w:iCs/>
          <w:lang w:val="en-GB" w:bidi="en-GB"/>
        </w:rPr>
        <w:t xml:space="preserve"> effectiveness (see 4).</w:t>
      </w:r>
    </w:p>
    <w:p w:rsidR="00355E0E" w:rsidRPr="00E4438D" w:rsidRDefault="00355E0E" w:rsidP="00355E0E">
      <w:pPr>
        <w:rPr>
          <w:bCs/>
          <w:iCs/>
          <w:lang w:val="en-GB" w:bidi="en-GB"/>
        </w:rPr>
      </w:pPr>
    </w:p>
    <w:p w:rsidR="00355E0E" w:rsidRPr="00E4438D" w:rsidRDefault="00355E0E" w:rsidP="00355E0E">
      <w:pPr>
        <w:rPr>
          <w:b/>
          <w:lang w:val="en-GB"/>
        </w:rPr>
      </w:pPr>
      <w:r w:rsidRPr="00E4438D">
        <w:rPr>
          <w:b/>
          <w:lang w:val="en-GB"/>
        </w:rPr>
        <w:t>Single Market and Competition</w:t>
      </w:r>
    </w:p>
    <w:p w:rsidR="00355E0E" w:rsidRPr="00E4438D" w:rsidRDefault="00355E0E" w:rsidP="00355E0E">
      <w:pPr>
        <w:rPr>
          <w:lang w:val="en-GB"/>
        </w:rPr>
      </w:pPr>
    </w:p>
    <w:p w:rsidR="00355E0E" w:rsidRPr="00E4438D" w:rsidRDefault="00355E0E" w:rsidP="00355E0E">
      <w:pPr>
        <w:rPr>
          <w:lang w:val="en-GB"/>
        </w:rPr>
      </w:pPr>
      <w:r w:rsidRPr="00E4438D">
        <w:rPr>
          <w:bCs/>
          <w:lang w:val="en-GB"/>
        </w:rPr>
        <w:t>With its revised opinion on</w:t>
      </w:r>
      <w:r w:rsidRPr="00E4438D">
        <w:rPr>
          <w:b/>
          <w:bCs/>
          <w:lang w:val="en-GB"/>
        </w:rPr>
        <w:t xml:space="preserve"> EU guidelines on state aid for rescuing and restructuring firms in difficulty</w:t>
      </w:r>
      <w:r w:rsidRPr="00E4438D">
        <w:rPr>
          <w:bCs/>
          <w:lang w:val="en-GB"/>
        </w:rPr>
        <w:t>, the CoR</w:t>
      </w:r>
      <w:r w:rsidRPr="00E4438D">
        <w:rPr>
          <w:b/>
          <w:bCs/>
          <w:lang w:val="en-GB"/>
        </w:rPr>
        <w:t xml:space="preserve"> </w:t>
      </w:r>
      <w:r w:rsidRPr="00E4438D">
        <w:rPr>
          <w:lang w:val="en-GB"/>
        </w:rPr>
        <w:t>could influence the final guidelines, including the issue</w:t>
      </w:r>
      <w:r w:rsidR="00505FEE" w:rsidRPr="00E4438D">
        <w:rPr>
          <w:lang w:val="en-GB"/>
        </w:rPr>
        <w:t>,</w:t>
      </w:r>
      <w:r w:rsidRPr="00E4438D">
        <w:rPr>
          <w:lang w:val="en-GB"/>
        </w:rPr>
        <w:t xml:space="preserve"> </w:t>
      </w:r>
      <w:r w:rsidR="00505FEE" w:rsidRPr="00E4438D">
        <w:rPr>
          <w:lang w:val="en-GB"/>
        </w:rPr>
        <w:t xml:space="preserve">extremely important </w:t>
      </w:r>
      <w:r w:rsidRPr="00E4438D">
        <w:rPr>
          <w:lang w:val="en-GB"/>
        </w:rPr>
        <w:t>for cities and regions</w:t>
      </w:r>
      <w:r w:rsidR="00505FEE" w:rsidRPr="00E4438D">
        <w:rPr>
          <w:lang w:val="en-GB"/>
        </w:rPr>
        <w:t>,</w:t>
      </w:r>
      <w:r w:rsidRPr="00E4438D">
        <w:rPr>
          <w:lang w:val="en-GB"/>
        </w:rPr>
        <w:t xml:space="preserve"> of raising </w:t>
      </w:r>
      <w:r w:rsidR="004356A9" w:rsidRPr="00E4438D">
        <w:rPr>
          <w:lang w:val="en-GB"/>
        </w:rPr>
        <w:t xml:space="preserve">the </w:t>
      </w:r>
      <w:r w:rsidRPr="00E4438D">
        <w:rPr>
          <w:lang w:val="en-GB"/>
        </w:rPr>
        <w:t xml:space="preserve">thresholds </w:t>
      </w:r>
      <w:r w:rsidR="004356A9" w:rsidRPr="00E4438D">
        <w:rPr>
          <w:lang w:val="en-GB"/>
        </w:rPr>
        <w:t xml:space="preserve">that </w:t>
      </w:r>
      <w:r w:rsidRPr="00E4438D">
        <w:rPr>
          <w:lang w:val="en-GB"/>
        </w:rPr>
        <w:t>determi</w:t>
      </w:r>
      <w:r w:rsidR="004356A9" w:rsidRPr="00E4438D">
        <w:rPr>
          <w:lang w:val="en-GB"/>
        </w:rPr>
        <w:t>ne</w:t>
      </w:r>
      <w:r w:rsidRPr="00E4438D">
        <w:rPr>
          <w:lang w:val="en-GB"/>
        </w:rPr>
        <w:t xml:space="preserve"> when state aid needs to be approved by the European Commission (see 5)</w:t>
      </w:r>
      <w:r w:rsidR="00927829" w:rsidRPr="00E4438D">
        <w:rPr>
          <w:lang w:val="en-GB"/>
        </w:rPr>
        <w:t>.</w:t>
      </w:r>
    </w:p>
    <w:p w:rsidR="00355E0E" w:rsidRPr="00E4438D" w:rsidRDefault="00355E0E" w:rsidP="00355E0E">
      <w:pPr>
        <w:rPr>
          <w:lang w:val="en-GB"/>
        </w:rPr>
      </w:pPr>
    </w:p>
    <w:p w:rsidR="00355E0E" w:rsidRPr="00E4438D" w:rsidRDefault="00355E0E" w:rsidP="00355E0E">
      <w:pPr>
        <w:rPr>
          <w:b/>
          <w:lang w:val="en-GB"/>
        </w:rPr>
      </w:pPr>
      <w:r w:rsidRPr="00E4438D">
        <w:rPr>
          <w:b/>
          <w:lang w:val="en-GB"/>
        </w:rPr>
        <w:t xml:space="preserve">Transport and Connectivity </w:t>
      </w:r>
    </w:p>
    <w:p w:rsidR="00355E0E" w:rsidRPr="00E4438D" w:rsidRDefault="00355E0E" w:rsidP="00355E0E">
      <w:pPr>
        <w:rPr>
          <w:lang w:val="en-GB"/>
        </w:rPr>
      </w:pPr>
    </w:p>
    <w:p w:rsidR="00355E0E" w:rsidRPr="00E4438D" w:rsidRDefault="00355E0E" w:rsidP="00355E0E">
      <w:pPr>
        <w:rPr>
          <w:lang w:val="en-GB"/>
        </w:rPr>
      </w:pPr>
      <w:r w:rsidRPr="00E4438D">
        <w:rPr>
          <w:lang w:val="en-GB"/>
        </w:rPr>
        <w:t>The CoR</w:t>
      </w:r>
      <w:r w:rsidR="00EF4D50" w:rsidRPr="00E4438D">
        <w:rPr>
          <w:lang w:val="en-GB"/>
        </w:rPr>
        <w:t>'s</w:t>
      </w:r>
      <w:r w:rsidRPr="00E4438D">
        <w:rPr>
          <w:lang w:val="en-GB"/>
        </w:rPr>
        <w:t xml:space="preserve"> recommendations on </w:t>
      </w:r>
      <w:r w:rsidR="00986E43" w:rsidRPr="00E4438D">
        <w:rPr>
          <w:lang w:val="en-GB"/>
        </w:rPr>
        <w:t>t</w:t>
      </w:r>
      <w:r w:rsidR="00444D72" w:rsidRPr="00E4438D">
        <w:rPr>
          <w:lang w:val="en-GB"/>
        </w:rPr>
        <w:t xml:space="preserve">he </w:t>
      </w:r>
      <w:r w:rsidR="00444D72" w:rsidRPr="00E4438D">
        <w:rPr>
          <w:b/>
          <w:lang w:val="en-GB"/>
        </w:rPr>
        <w:t>f</w:t>
      </w:r>
      <w:r w:rsidRPr="00E4438D">
        <w:rPr>
          <w:b/>
          <w:lang w:val="en-GB"/>
        </w:rPr>
        <w:t>ourth railway package</w:t>
      </w:r>
      <w:r w:rsidRPr="00E4438D">
        <w:rPr>
          <w:lang w:val="en-GB"/>
        </w:rPr>
        <w:t xml:space="preserve"> </w:t>
      </w:r>
      <w:r w:rsidR="0043622E" w:rsidRPr="00E4438D">
        <w:rPr>
          <w:lang w:val="en-GB"/>
        </w:rPr>
        <w:t xml:space="preserve">– </w:t>
      </w:r>
      <w:r w:rsidRPr="00E4438D">
        <w:rPr>
          <w:lang w:val="en-GB"/>
        </w:rPr>
        <w:t>which</w:t>
      </w:r>
      <w:r w:rsidR="00333B97" w:rsidRPr="00E4438D">
        <w:rPr>
          <w:lang w:val="en-GB"/>
        </w:rPr>
        <w:t>,</w:t>
      </w:r>
      <w:r w:rsidRPr="00E4438D">
        <w:rPr>
          <w:lang w:val="en-GB"/>
        </w:rPr>
        <w:t xml:space="preserve"> inter alia</w:t>
      </w:r>
      <w:r w:rsidR="00333B97" w:rsidRPr="00E4438D">
        <w:rPr>
          <w:lang w:val="en-GB"/>
        </w:rPr>
        <w:t>,</w:t>
      </w:r>
      <w:r w:rsidRPr="00E4438D">
        <w:rPr>
          <w:lang w:val="en-GB"/>
        </w:rPr>
        <w:t xml:space="preserve"> comprise the application of the reciprocity principle to third-country businesses that wish to take part in tenders within the Union, the clarification of the definition of competent local authorities, including those working at cross-border</w:t>
      </w:r>
      <w:r w:rsidR="0043622E" w:rsidRPr="00E4438D">
        <w:rPr>
          <w:lang w:val="en-GB"/>
        </w:rPr>
        <w:t xml:space="preserve"> </w:t>
      </w:r>
      <w:r w:rsidRPr="00E4438D">
        <w:rPr>
          <w:lang w:val="en-GB"/>
        </w:rPr>
        <w:t>level, and the option for competent authorities to directly award public service contracts</w:t>
      </w:r>
      <w:r w:rsidR="0043622E" w:rsidRPr="00E4438D">
        <w:rPr>
          <w:lang w:val="en-GB"/>
        </w:rPr>
        <w:t xml:space="preserve"> –</w:t>
      </w:r>
      <w:r w:rsidR="00F82B62" w:rsidRPr="00E4438D">
        <w:rPr>
          <w:lang w:val="en-GB"/>
        </w:rPr>
        <w:t xml:space="preserve"> </w:t>
      </w:r>
      <w:r w:rsidRPr="00E4438D">
        <w:rPr>
          <w:lang w:val="en-GB"/>
        </w:rPr>
        <w:t xml:space="preserve">made their way into </w:t>
      </w:r>
      <w:r w:rsidR="005F75CB" w:rsidRPr="00E4438D">
        <w:rPr>
          <w:lang w:val="en-GB"/>
        </w:rPr>
        <w:t xml:space="preserve">the </w:t>
      </w:r>
      <w:r w:rsidRPr="00E4438D">
        <w:rPr>
          <w:lang w:val="en-GB"/>
        </w:rPr>
        <w:t xml:space="preserve">EP legislative resolutions in February 2014. </w:t>
      </w:r>
      <w:r w:rsidR="00F82B62" w:rsidRPr="00E4438D">
        <w:rPr>
          <w:lang w:val="en-GB"/>
        </w:rPr>
        <w:t xml:space="preserve">In terms of </w:t>
      </w:r>
      <w:r w:rsidRPr="00E4438D">
        <w:rPr>
          <w:lang w:val="en-GB"/>
        </w:rPr>
        <w:t xml:space="preserve">the Council position, some CoR recommendations for legislative amendments were also taken on board in 2014, such as the </w:t>
      </w:r>
      <w:r w:rsidR="005F75CB" w:rsidRPr="00E4438D">
        <w:rPr>
          <w:lang w:val="en-GB"/>
        </w:rPr>
        <w:t xml:space="preserve">right </w:t>
      </w:r>
      <w:r w:rsidR="00D6291C" w:rsidRPr="00E4438D">
        <w:rPr>
          <w:lang w:val="en-GB"/>
        </w:rPr>
        <w:t>of</w:t>
      </w:r>
      <w:r w:rsidRPr="00E4438D">
        <w:rPr>
          <w:lang w:val="en-GB"/>
        </w:rPr>
        <w:t xml:space="preserve"> appeal </w:t>
      </w:r>
      <w:r w:rsidR="00F82B62" w:rsidRPr="00E4438D">
        <w:rPr>
          <w:lang w:val="en-GB"/>
        </w:rPr>
        <w:t>if</w:t>
      </w:r>
      <w:r w:rsidRPr="00E4438D">
        <w:rPr>
          <w:lang w:val="en-GB"/>
        </w:rPr>
        <w:t xml:space="preserve"> the European Railway Agency fails to act within the prescribed time limits.</w:t>
      </w:r>
    </w:p>
    <w:p w:rsidR="00355E0E" w:rsidRPr="00E4438D" w:rsidRDefault="00355E0E" w:rsidP="00355E0E">
      <w:pPr>
        <w:rPr>
          <w:lang w:val="en-GB"/>
        </w:rPr>
      </w:pPr>
    </w:p>
    <w:p w:rsidR="00355E0E" w:rsidRPr="00E4438D" w:rsidRDefault="00355E0E" w:rsidP="00355E0E">
      <w:pPr>
        <w:rPr>
          <w:lang w:val="en-GB"/>
        </w:rPr>
      </w:pPr>
      <w:r w:rsidRPr="00E4438D">
        <w:rPr>
          <w:lang w:val="en-GB"/>
        </w:rPr>
        <w:t xml:space="preserve">As far as telecommunication infrastructures are concerned, the following elements were taken on board in final legislation as requested in the CoR opinion on </w:t>
      </w:r>
      <w:r w:rsidRPr="00E4438D">
        <w:rPr>
          <w:b/>
          <w:lang w:val="en-GB"/>
        </w:rPr>
        <w:t xml:space="preserve">Guidelines for trans-European telecommunications </w:t>
      </w:r>
      <w:r w:rsidR="00890CF6" w:rsidRPr="00E4438D">
        <w:rPr>
          <w:b/>
          <w:lang w:val="en-GB"/>
        </w:rPr>
        <w:t>networks</w:t>
      </w:r>
      <w:r w:rsidRPr="00E4438D">
        <w:rPr>
          <w:lang w:val="en-GB"/>
        </w:rPr>
        <w:t>:</w:t>
      </w:r>
      <w:r w:rsidRPr="00E4438D">
        <w:rPr>
          <w:b/>
          <w:lang w:val="en-GB"/>
        </w:rPr>
        <w:t xml:space="preserve"> </w:t>
      </w:r>
      <w:r w:rsidRPr="00E4438D">
        <w:rPr>
          <w:lang w:val="en-GB"/>
        </w:rPr>
        <w:t xml:space="preserve">cooperation between </w:t>
      </w:r>
      <w:r w:rsidR="00890CF6" w:rsidRPr="00E4438D">
        <w:rPr>
          <w:lang w:val="en-GB"/>
        </w:rPr>
        <w:t>e</w:t>
      </w:r>
      <w:r w:rsidRPr="00E4438D">
        <w:rPr>
          <w:lang w:val="en-GB"/>
        </w:rPr>
        <w:t xml:space="preserve">xpert </w:t>
      </w:r>
      <w:r w:rsidR="00890CF6" w:rsidRPr="00E4438D">
        <w:rPr>
          <w:lang w:val="en-GB"/>
        </w:rPr>
        <w:t>g</w:t>
      </w:r>
      <w:r w:rsidRPr="00E4438D">
        <w:rPr>
          <w:lang w:val="en-GB"/>
        </w:rPr>
        <w:t>roups and entities such as local and regional authorities</w:t>
      </w:r>
      <w:r w:rsidR="00890CF6" w:rsidRPr="00E4438D">
        <w:rPr>
          <w:lang w:val="en-GB"/>
        </w:rPr>
        <w:t>,</w:t>
      </w:r>
      <w:r w:rsidRPr="00E4438D">
        <w:rPr>
          <w:lang w:val="en-GB"/>
        </w:rPr>
        <w:t xml:space="preserve"> and the involvement of local and regional authorities in the process of exchanging information and best practices in relation to the implementation of this </w:t>
      </w:r>
      <w:r w:rsidR="002E0A85" w:rsidRPr="00E4438D">
        <w:rPr>
          <w:lang w:val="en-GB"/>
        </w:rPr>
        <w:t>r</w:t>
      </w:r>
      <w:r w:rsidRPr="00E4438D">
        <w:rPr>
          <w:lang w:val="en-GB"/>
        </w:rPr>
        <w:t xml:space="preserve">egulation. </w:t>
      </w:r>
    </w:p>
    <w:p w:rsidR="00355E0E" w:rsidRPr="00E4438D" w:rsidRDefault="00355E0E" w:rsidP="00355E0E">
      <w:pPr>
        <w:rPr>
          <w:lang w:val="en-GB"/>
        </w:rPr>
      </w:pPr>
    </w:p>
    <w:p w:rsidR="00355E0E" w:rsidRPr="00E4438D" w:rsidRDefault="00355E0E" w:rsidP="00355E0E">
      <w:pPr>
        <w:rPr>
          <w:lang w:val="en-GB"/>
        </w:rPr>
      </w:pPr>
      <w:r w:rsidRPr="00E4438D">
        <w:rPr>
          <w:lang w:val="en-GB"/>
        </w:rPr>
        <w:t xml:space="preserve">The final text of the Directive on the deployment of alternative fuels infrastructure took on board a number of key policy recommendations set out in the CoR opinion on </w:t>
      </w:r>
      <w:r w:rsidRPr="00E4438D">
        <w:rPr>
          <w:b/>
          <w:lang w:val="en-GB"/>
        </w:rPr>
        <w:t xml:space="preserve">Clean </w:t>
      </w:r>
      <w:r w:rsidR="00145935" w:rsidRPr="00E4438D">
        <w:rPr>
          <w:b/>
          <w:lang w:val="en-GB"/>
        </w:rPr>
        <w:t>p</w:t>
      </w:r>
      <w:r w:rsidRPr="00E4438D">
        <w:rPr>
          <w:b/>
          <w:lang w:val="en-GB"/>
        </w:rPr>
        <w:t xml:space="preserve">ower for </w:t>
      </w:r>
      <w:r w:rsidR="00145935" w:rsidRPr="00E4438D">
        <w:rPr>
          <w:b/>
          <w:lang w:val="en-GB"/>
        </w:rPr>
        <w:t>t</w:t>
      </w:r>
      <w:r w:rsidRPr="00E4438D">
        <w:rPr>
          <w:b/>
          <w:lang w:val="en-GB"/>
        </w:rPr>
        <w:t>ransport</w:t>
      </w:r>
      <w:r w:rsidRPr="00E4438D">
        <w:rPr>
          <w:lang w:val="en-GB"/>
        </w:rPr>
        <w:t>,</w:t>
      </w:r>
      <w:r w:rsidRPr="00E4438D">
        <w:rPr>
          <w:b/>
          <w:lang w:val="en-GB"/>
        </w:rPr>
        <w:t xml:space="preserve"> </w:t>
      </w:r>
      <w:r w:rsidRPr="00E4438D">
        <w:rPr>
          <w:lang w:val="en-GB"/>
        </w:rPr>
        <w:t>such as</w:t>
      </w:r>
      <w:r w:rsidRPr="00E4438D">
        <w:rPr>
          <w:b/>
          <w:lang w:val="en-GB"/>
        </w:rPr>
        <w:t xml:space="preserve"> </w:t>
      </w:r>
      <w:r w:rsidRPr="00E4438D">
        <w:rPr>
          <w:lang w:val="en-GB"/>
        </w:rPr>
        <w:t>those regarding</w:t>
      </w:r>
      <w:r w:rsidRPr="00E4438D">
        <w:rPr>
          <w:b/>
          <w:lang w:val="en-GB"/>
        </w:rPr>
        <w:t xml:space="preserve"> </w:t>
      </w:r>
      <w:r w:rsidRPr="00E4438D">
        <w:rPr>
          <w:lang w:val="en-GB"/>
        </w:rPr>
        <w:t xml:space="preserve">the extension of deadlines, </w:t>
      </w:r>
      <w:r w:rsidR="002A2C29" w:rsidRPr="00E4438D">
        <w:rPr>
          <w:lang w:val="en-GB"/>
        </w:rPr>
        <w:t xml:space="preserve">the </w:t>
      </w:r>
      <w:r w:rsidRPr="00E4438D">
        <w:rPr>
          <w:lang w:val="en-GB"/>
        </w:rPr>
        <w:t>establishment of national policy frameworks in close cooperation with regional and local authorities, the</w:t>
      </w:r>
      <w:r w:rsidR="00F31946" w:rsidRPr="00E4438D">
        <w:rPr>
          <w:lang w:val="en-GB"/>
        </w:rPr>
        <w:t xml:space="preserve"> fact that the</w:t>
      </w:r>
      <w:r w:rsidRPr="00E4438D">
        <w:rPr>
          <w:lang w:val="en-GB"/>
        </w:rPr>
        <w:t xml:space="preserve"> interests of regional and local authorities </w:t>
      </w:r>
      <w:r w:rsidR="00CF1EBD" w:rsidRPr="00E4438D">
        <w:rPr>
          <w:lang w:val="en-GB"/>
        </w:rPr>
        <w:t>must</w:t>
      </w:r>
      <w:r w:rsidRPr="00E4438D">
        <w:rPr>
          <w:lang w:val="en-GB"/>
        </w:rPr>
        <w:t xml:space="preserve"> be taken into account in national policy frameworks</w:t>
      </w:r>
      <w:r w:rsidR="009D0C09" w:rsidRPr="00E4438D">
        <w:rPr>
          <w:lang w:val="en-GB"/>
        </w:rPr>
        <w:t>,</w:t>
      </w:r>
      <w:r w:rsidRPr="00E4438D">
        <w:rPr>
          <w:lang w:val="en-GB"/>
        </w:rPr>
        <w:t xml:space="preserve"> and consideration of the needs of rural and sparsely populated areas when planning national policy approach</w:t>
      </w:r>
      <w:r w:rsidR="00E72289" w:rsidRPr="00E4438D">
        <w:rPr>
          <w:lang w:val="en-GB"/>
        </w:rPr>
        <w:t>es</w:t>
      </w:r>
      <w:r w:rsidRPr="00E4438D">
        <w:rPr>
          <w:lang w:val="en-GB"/>
        </w:rPr>
        <w:t xml:space="preserve"> (see 6.1).</w:t>
      </w:r>
    </w:p>
    <w:p w:rsidR="00355E0E" w:rsidRPr="00E4438D" w:rsidRDefault="00355E0E" w:rsidP="00355E0E">
      <w:pPr>
        <w:rPr>
          <w:lang w:val="en-GB"/>
        </w:rPr>
      </w:pPr>
    </w:p>
    <w:p w:rsidR="00355E0E" w:rsidRPr="00E4438D" w:rsidRDefault="00355E0E" w:rsidP="00783D79">
      <w:pPr>
        <w:keepNext/>
        <w:rPr>
          <w:b/>
          <w:lang w:val="en-GB"/>
        </w:rPr>
      </w:pPr>
      <w:r w:rsidRPr="00E4438D">
        <w:rPr>
          <w:b/>
          <w:lang w:val="en-GB"/>
        </w:rPr>
        <w:t xml:space="preserve">Multilevel </w:t>
      </w:r>
      <w:r w:rsidR="000456C7" w:rsidRPr="00E4438D">
        <w:rPr>
          <w:b/>
          <w:lang w:val="en-GB"/>
        </w:rPr>
        <w:t>G</w:t>
      </w:r>
      <w:r w:rsidRPr="00E4438D">
        <w:rPr>
          <w:b/>
          <w:lang w:val="en-GB"/>
        </w:rPr>
        <w:t>overnance</w:t>
      </w:r>
    </w:p>
    <w:p w:rsidR="00355E0E" w:rsidRPr="00E4438D" w:rsidRDefault="00355E0E" w:rsidP="00783D79">
      <w:pPr>
        <w:keepNext/>
        <w:rPr>
          <w:lang w:val="en-GB"/>
        </w:rPr>
      </w:pPr>
    </w:p>
    <w:p w:rsidR="00355E0E" w:rsidRPr="00E4438D" w:rsidRDefault="00355E0E" w:rsidP="00783D79">
      <w:pPr>
        <w:keepNext/>
        <w:rPr>
          <w:lang w:val="en-GB"/>
        </w:rPr>
      </w:pPr>
      <w:r w:rsidRPr="00E4438D">
        <w:rPr>
          <w:lang w:val="en-GB"/>
        </w:rPr>
        <w:t xml:space="preserve">In relation to </w:t>
      </w:r>
      <w:r w:rsidR="000456C7" w:rsidRPr="00E4438D">
        <w:rPr>
          <w:b/>
          <w:lang w:val="en-GB"/>
        </w:rPr>
        <w:t>m</w:t>
      </w:r>
      <w:r w:rsidRPr="00E4438D">
        <w:rPr>
          <w:b/>
          <w:lang w:val="en-GB"/>
        </w:rPr>
        <w:t>ultilevel governance</w:t>
      </w:r>
      <w:r w:rsidRPr="00E4438D">
        <w:rPr>
          <w:lang w:val="en-GB"/>
        </w:rPr>
        <w:t xml:space="preserve">, </w:t>
      </w:r>
      <w:r w:rsidR="00B43854" w:rsidRPr="00E4438D">
        <w:rPr>
          <w:lang w:val="en-GB"/>
        </w:rPr>
        <w:t xml:space="preserve">as of January 2015 </w:t>
      </w:r>
      <w:r w:rsidR="000456C7" w:rsidRPr="00E4438D">
        <w:rPr>
          <w:lang w:val="en-GB"/>
        </w:rPr>
        <w:t>t</w:t>
      </w:r>
      <w:r w:rsidRPr="00E4438D">
        <w:rPr>
          <w:lang w:val="en-GB"/>
        </w:rPr>
        <w:t xml:space="preserve">he </w:t>
      </w:r>
      <w:r w:rsidRPr="00E4438D">
        <w:rPr>
          <w:b/>
          <w:lang w:val="en-GB"/>
        </w:rPr>
        <w:t>Charter for Multilevel Governance</w:t>
      </w:r>
      <w:r w:rsidRPr="00E4438D">
        <w:rPr>
          <w:lang w:val="en-GB"/>
        </w:rPr>
        <w:t xml:space="preserve"> </w:t>
      </w:r>
      <w:r w:rsidRPr="00E4438D">
        <w:rPr>
          <w:b/>
          <w:lang w:val="en-GB"/>
        </w:rPr>
        <w:t xml:space="preserve">in Europe </w:t>
      </w:r>
      <w:r w:rsidR="00F929C3" w:rsidRPr="00E4438D">
        <w:rPr>
          <w:lang w:val="en-GB"/>
        </w:rPr>
        <w:t xml:space="preserve">has been </w:t>
      </w:r>
      <w:r w:rsidRPr="00E4438D">
        <w:rPr>
          <w:lang w:val="en-GB"/>
        </w:rPr>
        <w:t>signed by 179 LRAs and 21 associations or networks and received political support from major European figure</w:t>
      </w:r>
      <w:r w:rsidR="00720BDD" w:rsidRPr="00E4438D">
        <w:rPr>
          <w:lang w:val="en-GB"/>
        </w:rPr>
        <w:t>s</w:t>
      </w:r>
      <w:r w:rsidRPr="00E4438D">
        <w:rPr>
          <w:lang w:val="en-GB"/>
        </w:rPr>
        <w:t xml:space="preserve">. Following </w:t>
      </w:r>
      <w:r w:rsidR="007C0AC1" w:rsidRPr="00E4438D">
        <w:rPr>
          <w:lang w:val="en-GB"/>
        </w:rPr>
        <w:t xml:space="preserve">the </w:t>
      </w:r>
      <w:r w:rsidRPr="00E4438D">
        <w:rPr>
          <w:lang w:val="en-GB"/>
        </w:rPr>
        <w:t xml:space="preserve">adoption of a report </w:t>
      </w:r>
      <w:r w:rsidRPr="00E4438D">
        <w:rPr>
          <w:bCs/>
          <w:lang w:val="en-GB"/>
        </w:rPr>
        <w:t xml:space="preserve">on </w:t>
      </w:r>
      <w:r w:rsidRPr="00E4438D">
        <w:rPr>
          <w:b/>
          <w:bCs/>
          <w:lang w:val="en-GB"/>
        </w:rPr>
        <w:t xml:space="preserve">Multilevel </w:t>
      </w:r>
      <w:r w:rsidR="007C0AC1" w:rsidRPr="00E4438D">
        <w:rPr>
          <w:b/>
          <w:bCs/>
          <w:lang w:val="en-GB"/>
        </w:rPr>
        <w:t>g</w:t>
      </w:r>
      <w:r w:rsidRPr="00E4438D">
        <w:rPr>
          <w:b/>
          <w:bCs/>
          <w:lang w:val="en-GB"/>
        </w:rPr>
        <w:t xml:space="preserve">overnance and </w:t>
      </w:r>
      <w:r w:rsidR="007C0AC1" w:rsidRPr="00E4438D">
        <w:rPr>
          <w:b/>
          <w:bCs/>
          <w:lang w:val="en-GB"/>
        </w:rPr>
        <w:t>p</w:t>
      </w:r>
      <w:r w:rsidRPr="00E4438D">
        <w:rPr>
          <w:b/>
          <w:bCs/>
          <w:lang w:val="en-GB"/>
        </w:rPr>
        <w:t>artnership</w:t>
      </w:r>
      <w:r w:rsidRPr="00E4438D">
        <w:rPr>
          <w:bCs/>
          <w:lang w:val="en-GB"/>
        </w:rPr>
        <w:t xml:space="preserve">, the principle of multilevel governance was </w:t>
      </w:r>
      <w:r w:rsidR="00F82655" w:rsidRPr="00E4438D">
        <w:rPr>
          <w:bCs/>
          <w:lang w:val="en-GB"/>
        </w:rPr>
        <w:t>incorporated in</w:t>
      </w:r>
      <w:r w:rsidRPr="00E4438D">
        <w:rPr>
          <w:bCs/>
          <w:lang w:val="en-GB"/>
        </w:rPr>
        <w:t>to the legal provisions of the European Structural and Investment Funds for the first time.</w:t>
      </w:r>
    </w:p>
    <w:p w:rsidR="00355E0E" w:rsidRPr="00E4438D" w:rsidRDefault="00355E0E" w:rsidP="00355E0E">
      <w:pPr>
        <w:rPr>
          <w:lang w:val="en-GB"/>
        </w:rPr>
      </w:pPr>
    </w:p>
    <w:p w:rsidR="00355E0E" w:rsidRPr="00E4438D" w:rsidRDefault="00355E0E" w:rsidP="00355E0E">
      <w:pPr>
        <w:rPr>
          <w:b/>
          <w:bCs/>
          <w:lang w:val="en-GB"/>
        </w:rPr>
      </w:pPr>
      <w:bookmarkStart w:id="1" w:name="_Toc418860762"/>
      <w:r w:rsidRPr="00E4438D">
        <w:rPr>
          <w:b/>
          <w:bCs/>
          <w:lang w:val="en-GB"/>
        </w:rPr>
        <w:t>Environment and Climate Change</w:t>
      </w:r>
      <w:bookmarkEnd w:id="1"/>
    </w:p>
    <w:p w:rsidR="00355E0E" w:rsidRPr="00E4438D" w:rsidRDefault="00355E0E" w:rsidP="00355E0E">
      <w:pPr>
        <w:rPr>
          <w:b/>
          <w:lang w:val="en-GB"/>
        </w:rPr>
      </w:pPr>
    </w:p>
    <w:p w:rsidR="00355E0E" w:rsidRPr="00E4438D" w:rsidRDefault="00355E0E" w:rsidP="00355E0E">
      <w:pPr>
        <w:rPr>
          <w:lang w:val="en-GB"/>
        </w:rPr>
      </w:pPr>
      <w:r w:rsidRPr="00E4438D">
        <w:rPr>
          <w:lang w:val="en-GB"/>
        </w:rPr>
        <w:t xml:space="preserve">As requested in the opinion on </w:t>
      </w:r>
      <w:r w:rsidR="001A0B4E" w:rsidRPr="00E4438D">
        <w:rPr>
          <w:lang w:val="en-GB"/>
        </w:rPr>
        <w:t xml:space="preserve">the </w:t>
      </w:r>
      <w:r w:rsidRPr="00E4438D">
        <w:rPr>
          <w:b/>
          <w:lang w:val="en-GB"/>
        </w:rPr>
        <w:t>Green Paper on Framing 2030 Climate and Energy Policy</w:t>
      </w:r>
      <w:r w:rsidRPr="00E4438D">
        <w:rPr>
          <w:lang w:val="en-GB"/>
        </w:rPr>
        <w:t>, which responded to consultation</w:t>
      </w:r>
      <w:r w:rsidR="00B76C8F" w:rsidRPr="00E4438D">
        <w:rPr>
          <w:lang w:val="en-GB"/>
        </w:rPr>
        <w:t>s</w:t>
      </w:r>
      <w:r w:rsidRPr="00E4438D">
        <w:rPr>
          <w:lang w:val="en-GB"/>
        </w:rPr>
        <w:t xml:space="preserve"> on EU climate and energy policies </w:t>
      </w:r>
      <w:r w:rsidR="00637457" w:rsidRPr="00E4438D">
        <w:rPr>
          <w:lang w:val="en-GB"/>
        </w:rPr>
        <w:t xml:space="preserve">between </w:t>
      </w:r>
      <w:r w:rsidRPr="00E4438D">
        <w:rPr>
          <w:lang w:val="en-GB"/>
        </w:rPr>
        <w:t>2020</w:t>
      </w:r>
      <w:r w:rsidR="00637457" w:rsidRPr="00E4438D">
        <w:rPr>
          <w:lang w:val="en-GB"/>
        </w:rPr>
        <w:t xml:space="preserve"> and </w:t>
      </w:r>
      <w:r w:rsidRPr="00E4438D">
        <w:rPr>
          <w:lang w:val="en-GB"/>
        </w:rPr>
        <w:t>2030 launched by the European Commission, the European Parliament report also included a call for closer involvement of local and regional authorities in the new climate and energy framework.</w:t>
      </w:r>
    </w:p>
    <w:p w:rsidR="00355E0E" w:rsidRPr="00E4438D" w:rsidRDefault="00355E0E" w:rsidP="00355E0E">
      <w:pPr>
        <w:rPr>
          <w:lang w:val="en-GB"/>
        </w:rPr>
      </w:pPr>
    </w:p>
    <w:p w:rsidR="00355E0E" w:rsidRPr="00E4438D" w:rsidRDefault="00355E0E" w:rsidP="00355E0E">
      <w:pPr>
        <w:rPr>
          <w:lang w:val="en-GB"/>
        </w:rPr>
      </w:pPr>
      <w:r w:rsidRPr="00E4438D">
        <w:rPr>
          <w:lang w:val="en-GB"/>
        </w:rPr>
        <w:t xml:space="preserve">In relation to </w:t>
      </w:r>
      <w:r w:rsidRPr="00E4438D">
        <w:rPr>
          <w:b/>
          <w:lang w:val="en-GB"/>
        </w:rPr>
        <w:t>EU waste policy</w:t>
      </w:r>
      <w:r w:rsidRPr="00E4438D">
        <w:rPr>
          <w:lang w:val="en-GB"/>
        </w:rPr>
        <w:t xml:space="preserve">, the CoR was able to influence the </w:t>
      </w:r>
      <w:r w:rsidR="00B76C8F" w:rsidRPr="00E4438D">
        <w:rPr>
          <w:b/>
          <w:lang w:val="en-GB"/>
        </w:rPr>
        <w:t>c</w:t>
      </w:r>
      <w:r w:rsidRPr="00E4438D">
        <w:rPr>
          <w:b/>
          <w:lang w:val="en-GB"/>
        </w:rPr>
        <w:t xml:space="preserve">ircular </w:t>
      </w:r>
      <w:r w:rsidR="00B76C8F" w:rsidRPr="00E4438D">
        <w:rPr>
          <w:b/>
          <w:lang w:val="en-GB"/>
        </w:rPr>
        <w:t>e</w:t>
      </w:r>
      <w:r w:rsidRPr="00E4438D">
        <w:rPr>
          <w:b/>
          <w:lang w:val="en-GB"/>
        </w:rPr>
        <w:t xml:space="preserve">conomy </w:t>
      </w:r>
      <w:r w:rsidR="00B76C8F" w:rsidRPr="00E4438D">
        <w:rPr>
          <w:b/>
          <w:lang w:val="en-GB"/>
        </w:rPr>
        <w:t>p</w:t>
      </w:r>
      <w:r w:rsidRPr="00E4438D">
        <w:rPr>
          <w:b/>
          <w:lang w:val="en-GB"/>
        </w:rPr>
        <w:t>ackage</w:t>
      </w:r>
      <w:r w:rsidRPr="00E4438D">
        <w:rPr>
          <w:lang w:val="en-GB"/>
        </w:rPr>
        <w:t xml:space="preserve"> </w:t>
      </w:r>
      <w:r w:rsidR="00FC70C4" w:rsidRPr="00E4438D">
        <w:rPr>
          <w:lang w:val="en-GB"/>
        </w:rPr>
        <w:t>by means of</w:t>
      </w:r>
      <w:r w:rsidRPr="00E4438D">
        <w:rPr>
          <w:lang w:val="en-GB"/>
        </w:rPr>
        <w:t xml:space="preserve"> </w:t>
      </w:r>
      <w:r w:rsidR="00B76C8F" w:rsidRPr="00E4438D">
        <w:rPr>
          <w:lang w:val="en-GB"/>
        </w:rPr>
        <w:t xml:space="preserve">four </w:t>
      </w:r>
      <w:r w:rsidRPr="00E4438D">
        <w:rPr>
          <w:lang w:val="en-GB"/>
        </w:rPr>
        <w:t xml:space="preserve">opinions. The legislative proposal reflects </w:t>
      </w:r>
      <w:r w:rsidR="00B76C8F" w:rsidRPr="00E4438D">
        <w:rPr>
          <w:lang w:val="en-GB"/>
        </w:rPr>
        <w:t xml:space="preserve">the </w:t>
      </w:r>
      <w:r w:rsidRPr="00E4438D">
        <w:rPr>
          <w:lang w:val="en-GB"/>
        </w:rPr>
        <w:t xml:space="preserve">CoR's recommendations: </w:t>
      </w:r>
      <w:r w:rsidR="00B76C8F" w:rsidRPr="00E4438D">
        <w:rPr>
          <w:lang w:val="en-GB"/>
        </w:rPr>
        <w:t>end</w:t>
      </w:r>
      <w:r w:rsidRPr="00E4438D">
        <w:rPr>
          <w:lang w:val="en-GB"/>
        </w:rPr>
        <w:t>ing EU funding for landfill and incineration</w:t>
      </w:r>
      <w:r w:rsidR="00B76C8F" w:rsidRPr="00E4438D">
        <w:rPr>
          <w:lang w:val="en-GB"/>
        </w:rPr>
        <w:t>,</w:t>
      </w:r>
      <w:r w:rsidRPr="00E4438D">
        <w:rPr>
          <w:lang w:val="en-GB"/>
        </w:rPr>
        <w:t xml:space="preserve"> reinforced extended producer responsibility, </w:t>
      </w:r>
      <w:r w:rsidR="005368A7" w:rsidRPr="00E4438D">
        <w:rPr>
          <w:lang w:val="en-GB"/>
        </w:rPr>
        <w:t xml:space="preserve">higher </w:t>
      </w:r>
      <w:r w:rsidRPr="00E4438D">
        <w:rPr>
          <w:lang w:val="en-GB"/>
        </w:rPr>
        <w:t>targets for plastic packaging waste and the introduction of an aspirational target o</w:t>
      </w:r>
      <w:r w:rsidR="005368A7" w:rsidRPr="00E4438D">
        <w:rPr>
          <w:lang w:val="en-GB"/>
        </w:rPr>
        <w:t>f</w:t>
      </w:r>
      <w:r w:rsidRPr="00E4438D">
        <w:rPr>
          <w:lang w:val="en-GB"/>
        </w:rPr>
        <w:t xml:space="preserve"> </w:t>
      </w:r>
      <w:r w:rsidR="005368A7" w:rsidRPr="00E4438D">
        <w:rPr>
          <w:lang w:val="en-GB"/>
        </w:rPr>
        <w:t>a 30% reduction in</w:t>
      </w:r>
      <w:r w:rsidR="00B76C8F" w:rsidRPr="00E4438D">
        <w:rPr>
          <w:lang w:val="en-GB"/>
        </w:rPr>
        <w:t xml:space="preserve"> </w:t>
      </w:r>
      <w:r w:rsidRPr="00E4438D">
        <w:rPr>
          <w:lang w:val="en-GB"/>
        </w:rPr>
        <w:t>marine litter by 2020</w:t>
      </w:r>
      <w:r w:rsidR="00B76C8F" w:rsidRPr="00E4438D">
        <w:rPr>
          <w:lang w:val="en-GB"/>
        </w:rPr>
        <w:t>,</w:t>
      </w:r>
      <w:r w:rsidRPr="00E4438D">
        <w:rPr>
          <w:lang w:val="en-GB"/>
        </w:rPr>
        <w:t xml:space="preserve"> for some type</w:t>
      </w:r>
      <w:r w:rsidR="00B76C8F" w:rsidRPr="00E4438D">
        <w:rPr>
          <w:lang w:val="en-GB"/>
        </w:rPr>
        <w:t>s</w:t>
      </w:r>
      <w:r w:rsidRPr="00E4438D">
        <w:rPr>
          <w:lang w:val="en-GB"/>
        </w:rPr>
        <w:t xml:space="preserve"> of litter found on beaches (see 9).</w:t>
      </w:r>
    </w:p>
    <w:p w:rsidR="00355E0E" w:rsidRPr="00E4438D" w:rsidRDefault="00355E0E" w:rsidP="00355E0E">
      <w:pPr>
        <w:rPr>
          <w:lang w:val="en-GB"/>
        </w:rPr>
      </w:pPr>
    </w:p>
    <w:p w:rsidR="00355E0E" w:rsidRPr="00E4438D" w:rsidRDefault="00355E0E" w:rsidP="00355E0E">
      <w:pPr>
        <w:rPr>
          <w:b/>
          <w:lang w:val="en-GB"/>
        </w:rPr>
      </w:pPr>
      <w:r w:rsidRPr="00E4438D">
        <w:rPr>
          <w:b/>
          <w:lang w:val="en-GB"/>
        </w:rPr>
        <w:t>Agriculture and Maritime Affairs</w:t>
      </w:r>
    </w:p>
    <w:p w:rsidR="00355E0E" w:rsidRPr="00E4438D" w:rsidRDefault="00355E0E" w:rsidP="00355E0E">
      <w:pPr>
        <w:rPr>
          <w:lang w:val="en-GB"/>
        </w:rPr>
      </w:pPr>
    </w:p>
    <w:p w:rsidR="00355E0E" w:rsidRPr="00E4438D" w:rsidRDefault="00355E0E" w:rsidP="00355E0E">
      <w:pPr>
        <w:rPr>
          <w:lang w:val="en-GB"/>
        </w:rPr>
      </w:pPr>
      <w:r w:rsidRPr="00E4438D">
        <w:rPr>
          <w:lang w:val="en-GB"/>
        </w:rPr>
        <w:t>In agricultural policy,</w:t>
      </w:r>
      <w:r w:rsidR="003551D9" w:rsidRPr="00E4438D">
        <w:rPr>
          <w:lang w:val="en-GB"/>
        </w:rPr>
        <w:t xml:space="preserve"> the</w:t>
      </w:r>
      <w:r w:rsidRPr="00E4438D">
        <w:rPr>
          <w:lang w:val="en-GB"/>
        </w:rPr>
        <w:t xml:space="preserve"> CAP, the CoR adopted an opinion on </w:t>
      </w:r>
      <w:r w:rsidR="00E25F0A" w:rsidRPr="00E4438D">
        <w:rPr>
          <w:b/>
          <w:lang w:val="en-GB"/>
        </w:rPr>
        <w:t>I</w:t>
      </w:r>
      <w:r w:rsidRPr="00E4438D">
        <w:rPr>
          <w:b/>
          <w:lang w:val="en-GB"/>
        </w:rPr>
        <w:t xml:space="preserve">nformation </w:t>
      </w:r>
      <w:r w:rsidR="00E25F0A" w:rsidRPr="00E4438D">
        <w:rPr>
          <w:b/>
          <w:lang w:val="en-GB"/>
        </w:rPr>
        <w:t xml:space="preserve">provision </w:t>
      </w:r>
      <w:r w:rsidRPr="00E4438D">
        <w:rPr>
          <w:b/>
          <w:lang w:val="en-GB"/>
        </w:rPr>
        <w:t>and promotion measures for agricultural products on the internal market and in third countries</w:t>
      </w:r>
      <w:r w:rsidRPr="00E4438D">
        <w:rPr>
          <w:lang w:val="en-GB"/>
        </w:rPr>
        <w:t>.</w:t>
      </w:r>
      <w:r w:rsidRPr="00E4438D">
        <w:rPr>
          <w:b/>
          <w:lang w:val="en-GB"/>
        </w:rPr>
        <w:t xml:space="preserve"> </w:t>
      </w:r>
      <w:r w:rsidRPr="00E4438D">
        <w:rPr>
          <w:lang w:val="en-GB"/>
        </w:rPr>
        <w:t xml:space="preserve">Some CoR requests </w:t>
      </w:r>
      <w:r w:rsidR="00C90ACC" w:rsidRPr="00E4438D">
        <w:rPr>
          <w:lang w:val="en-GB"/>
        </w:rPr>
        <w:t>were</w:t>
      </w:r>
      <w:r w:rsidRPr="00E4438D">
        <w:rPr>
          <w:lang w:val="en-GB"/>
        </w:rPr>
        <w:t xml:space="preserve"> taken on board in the final act: a reference to the geographical origin of a product;</w:t>
      </w:r>
      <w:r w:rsidRPr="00E4438D">
        <w:rPr>
          <w:vertAlign w:val="superscript"/>
          <w:lang w:val="en-GB"/>
        </w:rPr>
        <w:t xml:space="preserve"> </w:t>
      </w:r>
      <w:r w:rsidRPr="00E4438D">
        <w:rPr>
          <w:lang w:val="en-GB"/>
        </w:rPr>
        <w:t>access to information provisions and promotion measures on the internal market and in third countries for wine;</w:t>
      </w:r>
      <w:r w:rsidRPr="00E4438D">
        <w:rPr>
          <w:vertAlign w:val="superscript"/>
          <w:lang w:val="en-GB"/>
        </w:rPr>
        <w:t xml:space="preserve"> </w:t>
      </w:r>
      <w:r w:rsidRPr="00E4438D">
        <w:rPr>
          <w:lang w:val="en-GB"/>
        </w:rPr>
        <w:t>the involvement of Member States in the evaluation and selection of programmes; the increase of European co-financing, especially for information and promotion measures during agricultural crises, and as regards multi-programmes in third countries.</w:t>
      </w:r>
    </w:p>
    <w:p w:rsidR="00355E0E" w:rsidRPr="00E4438D" w:rsidRDefault="00355E0E" w:rsidP="00355E0E">
      <w:pPr>
        <w:rPr>
          <w:lang w:val="en-GB"/>
        </w:rPr>
      </w:pPr>
    </w:p>
    <w:p w:rsidR="00355E0E" w:rsidRPr="00E4438D" w:rsidRDefault="00C90ACC" w:rsidP="00355E0E">
      <w:pPr>
        <w:rPr>
          <w:lang w:val="en-GB"/>
        </w:rPr>
      </w:pPr>
      <w:r w:rsidRPr="00E4438D">
        <w:rPr>
          <w:lang w:val="en-GB"/>
        </w:rPr>
        <w:t>In terms of</w:t>
      </w:r>
      <w:r w:rsidR="00355E0E" w:rsidRPr="00E4438D">
        <w:rPr>
          <w:lang w:val="en-GB"/>
        </w:rPr>
        <w:t xml:space="preserve"> </w:t>
      </w:r>
      <w:r w:rsidRPr="00E4438D">
        <w:rPr>
          <w:b/>
          <w:bCs/>
          <w:lang w:val="en-GB"/>
        </w:rPr>
        <w:t>m</w:t>
      </w:r>
      <w:r w:rsidR="00355E0E" w:rsidRPr="00E4438D">
        <w:rPr>
          <w:b/>
          <w:bCs/>
          <w:lang w:val="en-GB"/>
        </w:rPr>
        <w:t>aritime spatial planning</w:t>
      </w:r>
      <w:r w:rsidR="00355E0E" w:rsidRPr="00E4438D">
        <w:rPr>
          <w:b/>
          <w:lang w:val="en-GB"/>
        </w:rPr>
        <w:t xml:space="preserve"> and integrated coastal management</w:t>
      </w:r>
      <w:r w:rsidR="00355E0E" w:rsidRPr="00E4438D">
        <w:rPr>
          <w:lang w:val="en-GB"/>
        </w:rPr>
        <w:t>, the CoR amendments were partially taken up by the co-legislators on the following issues:</w:t>
      </w:r>
      <w:r w:rsidR="00DE5B36" w:rsidRPr="00E4438D">
        <w:rPr>
          <w:lang w:val="en-GB"/>
        </w:rPr>
        <w:t xml:space="preserve"> </w:t>
      </w:r>
      <w:r w:rsidR="00355E0E" w:rsidRPr="00E4438D">
        <w:rPr>
          <w:lang w:val="en-GB"/>
        </w:rPr>
        <w:t xml:space="preserve">the approach to be </w:t>
      </w:r>
      <w:r w:rsidRPr="00E4438D">
        <w:rPr>
          <w:lang w:val="en-GB"/>
        </w:rPr>
        <w:t>taken</w:t>
      </w:r>
      <w:r w:rsidR="00355E0E" w:rsidRPr="00E4438D">
        <w:rPr>
          <w:lang w:val="en-GB"/>
        </w:rPr>
        <w:t>; the review by the Member States</w:t>
      </w:r>
      <w:r w:rsidRPr="00E4438D">
        <w:rPr>
          <w:lang w:val="en-GB"/>
        </w:rPr>
        <w:t>;</w:t>
      </w:r>
      <w:r w:rsidR="00355E0E" w:rsidRPr="00E4438D">
        <w:rPr>
          <w:lang w:val="en-GB"/>
        </w:rPr>
        <w:t xml:space="preserve"> and addition of "enhanced cross-border cooperation" (see 10</w:t>
      </w:r>
      <w:r w:rsidR="005368A7" w:rsidRPr="00E4438D">
        <w:rPr>
          <w:lang w:val="en-GB"/>
        </w:rPr>
        <w:t>,</w:t>
      </w:r>
      <w:r w:rsidR="00355E0E" w:rsidRPr="00E4438D">
        <w:rPr>
          <w:lang w:val="en-GB"/>
        </w:rPr>
        <w:t xml:space="preserve"> 11). </w:t>
      </w:r>
    </w:p>
    <w:p w:rsidR="00355E0E" w:rsidRPr="00E4438D" w:rsidRDefault="00355E0E" w:rsidP="00355E0E">
      <w:pPr>
        <w:rPr>
          <w:lang w:val="en-GB"/>
        </w:rPr>
      </w:pPr>
    </w:p>
    <w:p w:rsidR="00355E0E" w:rsidRPr="00E4438D" w:rsidRDefault="00355E0E" w:rsidP="00355E0E">
      <w:pPr>
        <w:rPr>
          <w:b/>
          <w:lang w:val="en-GB"/>
        </w:rPr>
      </w:pPr>
      <w:bookmarkStart w:id="2" w:name="_Toc418860769"/>
      <w:r w:rsidRPr="00E4438D">
        <w:rPr>
          <w:b/>
          <w:lang w:val="en-GB"/>
        </w:rPr>
        <w:t xml:space="preserve">Europe for </w:t>
      </w:r>
      <w:r w:rsidR="00C90ACC" w:rsidRPr="00E4438D">
        <w:rPr>
          <w:b/>
          <w:lang w:val="en-GB"/>
        </w:rPr>
        <w:t>C</w:t>
      </w:r>
      <w:r w:rsidRPr="00E4438D">
        <w:rPr>
          <w:b/>
          <w:lang w:val="en-GB"/>
        </w:rPr>
        <w:t>itizens</w:t>
      </w:r>
      <w:bookmarkEnd w:id="2"/>
    </w:p>
    <w:p w:rsidR="00355E0E" w:rsidRPr="00E4438D" w:rsidRDefault="00355E0E" w:rsidP="00355E0E">
      <w:pPr>
        <w:rPr>
          <w:b/>
          <w:lang w:val="en-GB"/>
        </w:rPr>
      </w:pPr>
    </w:p>
    <w:p w:rsidR="00355E0E" w:rsidRPr="00E4438D" w:rsidRDefault="00355E0E" w:rsidP="00355E0E">
      <w:pPr>
        <w:rPr>
          <w:lang w:val="en-GB"/>
        </w:rPr>
      </w:pPr>
      <w:r w:rsidRPr="00E4438D">
        <w:rPr>
          <w:lang w:val="en-GB"/>
        </w:rPr>
        <w:t>The CoR stepped up its efforts to promote a decentrali</w:t>
      </w:r>
      <w:r w:rsidR="00E0582C" w:rsidRPr="00E4438D">
        <w:rPr>
          <w:lang w:val="en-GB"/>
        </w:rPr>
        <w:t>s</w:t>
      </w:r>
      <w:r w:rsidRPr="00E4438D">
        <w:rPr>
          <w:lang w:val="en-GB"/>
        </w:rPr>
        <w:t xml:space="preserve">ed EU communication policy. Its opinion on </w:t>
      </w:r>
      <w:r w:rsidRPr="00E4438D">
        <w:rPr>
          <w:b/>
          <w:lang w:val="en-GB"/>
        </w:rPr>
        <w:t>Reconnecting Europe with its citizens</w:t>
      </w:r>
      <w:r w:rsidRPr="00E4438D">
        <w:rPr>
          <w:lang w:val="en-GB"/>
        </w:rPr>
        <w:t xml:space="preserve"> contributed to public debate on rebuilding citizens' trust in the European integration project and received a </w:t>
      </w:r>
      <w:r w:rsidR="00E0582C" w:rsidRPr="00E4438D">
        <w:rPr>
          <w:lang w:val="en-GB"/>
        </w:rPr>
        <w:t xml:space="preserve">great deal </w:t>
      </w:r>
      <w:r w:rsidRPr="00E4438D">
        <w:rPr>
          <w:lang w:val="en-GB"/>
        </w:rPr>
        <w:t>of direct interest from the EU institutions – the European Parliament and the European Commission – and managed to influence their deliberations on the new multi-annual communication</w:t>
      </w:r>
      <w:r w:rsidR="005368A7" w:rsidRPr="00E4438D">
        <w:rPr>
          <w:lang w:val="en-GB"/>
        </w:rPr>
        <w:t>s</w:t>
      </w:r>
      <w:r w:rsidRPr="00E4438D">
        <w:rPr>
          <w:lang w:val="en-GB"/>
        </w:rPr>
        <w:t xml:space="preserve"> strategies (see 12.1). </w:t>
      </w:r>
    </w:p>
    <w:p w:rsidR="00355E0E" w:rsidRPr="00E4438D" w:rsidRDefault="00355E0E" w:rsidP="00355E0E">
      <w:pPr>
        <w:rPr>
          <w:b/>
          <w:lang w:val="en-GB"/>
        </w:rPr>
      </w:pPr>
    </w:p>
    <w:p w:rsidR="00355E0E" w:rsidRPr="00E4438D" w:rsidRDefault="00355E0E" w:rsidP="00783D79">
      <w:pPr>
        <w:keepNext/>
        <w:rPr>
          <w:b/>
          <w:lang w:val="en-GB"/>
        </w:rPr>
      </w:pPr>
      <w:bookmarkStart w:id="3" w:name="_Toc418860771"/>
      <w:r w:rsidRPr="00E4438D">
        <w:rPr>
          <w:b/>
          <w:lang w:val="en-GB"/>
        </w:rPr>
        <w:t xml:space="preserve">Europe as a </w:t>
      </w:r>
      <w:r w:rsidR="00E0582C" w:rsidRPr="00E4438D">
        <w:rPr>
          <w:b/>
          <w:lang w:val="en-GB"/>
        </w:rPr>
        <w:t>G</w:t>
      </w:r>
      <w:r w:rsidRPr="00E4438D">
        <w:rPr>
          <w:b/>
          <w:lang w:val="en-GB"/>
        </w:rPr>
        <w:t xml:space="preserve">lobal </w:t>
      </w:r>
      <w:r w:rsidR="00E0582C" w:rsidRPr="00E4438D">
        <w:rPr>
          <w:b/>
          <w:lang w:val="en-GB"/>
        </w:rPr>
        <w:t>A</w:t>
      </w:r>
      <w:r w:rsidRPr="00E4438D">
        <w:rPr>
          <w:b/>
          <w:lang w:val="en-GB"/>
        </w:rPr>
        <w:t>ctor</w:t>
      </w:r>
      <w:bookmarkEnd w:id="3"/>
    </w:p>
    <w:p w:rsidR="00355E0E" w:rsidRPr="00E4438D" w:rsidRDefault="00355E0E" w:rsidP="00783D79">
      <w:pPr>
        <w:keepNext/>
        <w:rPr>
          <w:b/>
          <w:lang w:val="en-GB"/>
        </w:rPr>
      </w:pPr>
    </w:p>
    <w:p w:rsidR="00355E0E" w:rsidRPr="00E4438D" w:rsidRDefault="00355E0E" w:rsidP="00355E0E">
      <w:pPr>
        <w:rPr>
          <w:b/>
          <w:lang w:val="en-GB"/>
        </w:rPr>
      </w:pPr>
      <w:r w:rsidRPr="00E4438D">
        <w:rPr>
          <w:lang w:val="en-GB"/>
        </w:rPr>
        <w:t xml:space="preserve">In response to the CoR's annual opinion on the </w:t>
      </w:r>
      <w:r w:rsidRPr="00E4438D">
        <w:rPr>
          <w:b/>
          <w:lang w:val="en-GB"/>
        </w:rPr>
        <w:t xml:space="preserve">EU </w:t>
      </w:r>
      <w:r w:rsidR="007D7A05" w:rsidRPr="00E4438D">
        <w:rPr>
          <w:b/>
          <w:lang w:val="en-GB"/>
        </w:rPr>
        <w:t>e</w:t>
      </w:r>
      <w:r w:rsidRPr="00E4438D">
        <w:rPr>
          <w:b/>
          <w:lang w:val="en-GB"/>
        </w:rPr>
        <w:t>nlargement strategy</w:t>
      </w:r>
      <w:r w:rsidRPr="00E4438D">
        <w:rPr>
          <w:lang w:val="en-GB"/>
        </w:rPr>
        <w:t xml:space="preserve">, the European Commission </w:t>
      </w:r>
      <w:r w:rsidR="005368A7" w:rsidRPr="00E4438D">
        <w:rPr>
          <w:lang w:val="en-GB"/>
        </w:rPr>
        <w:t xml:space="preserve">acknowledged </w:t>
      </w:r>
      <w:r w:rsidRPr="00E4438D">
        <w:rPr>
          <w:lang w:val="en-GB"/>
        </w:rPr>
        <w:t xml:space="preserve">the CoR's call for the state of local and regional self-government to be included in the </w:t>
      </w:r>
      <w:r w:rsidR="007D7A05" w:rsidRPr="00E4438D">
        <w:rPr>
          <w:lang w:val="en-GB"/>
        </w:rPr>
        <w:t>a</w:t>
      </w:r>
      <w:r w:rsidRPr="00E4438D">
        <w:rPr>
          <w:lang w:val="en-GB"/>
        </w:rPr>
        <w:t xml:space="preserve">nnual </w:t>
      </w:r>
      <w:r w:rsidR="007D7A05" w:rsidRPr="00E4438D">
        <w:rPr>
          <w:lang w:val="en-GB"/>
        </w:rPr>
        <w:t>p</w:t>
      </w:r>
      <w:r w:rsidRPr="00E4438D">
        <w:rPr>
          <w:lang w:val="en-GB"/>
        </w:rPr>
        <w:t xml:space="preserve">rogress </w:t>
      </w:r>
      <w:r w:rsidR="007D7A05" w:rsidRPr="00E4438D">
        <w:rPr>
          <w:lang w:val="en-GB"/>
        </w:rPr>
        <w:t>r</w:t>
      </w:r>
      <w:r w:rsidRPr="00E4438D">
        <w:rPr>
          <w:lang w:val="en-GB"/>
        </w:rPr>
        <w:t>eports o</w:t>
      </w:r>
      <w:r w:rsidR="007D7A05" w:rsidRPr="00E4438D">
        <w:rPr>
          <w:lang w:val="en-GB"/>
        </w:rPr>
        <w:t>n</w:t>
      </w:r>
      <w:r w:rsidRPr="00E4438D">
        <w:rPr>
          <w:lang w:val="en-GB"/>
        </w:rPr>
        <w:t xml:space="preserve"> candidate countries, as part of the political criteria for </w:t>
      </w:r>
      <w:r w:rsidR="001344DD" w:rsidRPr="00E4438D">
        <w:rPr>
          <w:lang w:val="en-GB"/>
        </w:rPr>
        <w:t xml:space="preserve">the </w:t>
      </w:r>
      <w:r w:rsidRPr="00E4438D">
        <w:rPr>
          <w:lang w:val="en-GB"/>
        </w:rPr>
        <w:t>stability of institutions guaranteeing democracy.</w:t>
      </w:r>
    </w:p>
    <w:p w:rsidR="00355E0E" w:rsidRPr="00E4438D" w:rsidRDefault="00355E0E" w:rsidP="00355E0E">
      <w:pPr>
        <w:rPr>
          <w:lang w:val="en-GB"/>
        </w:rPr>
      </w:pPr>
    </w:p>
    <w:p w:rsidR="00355E0E" w:rsidRPr="00E4438D" w:rsidRDefault="00355E0E" w:rsidP="00355E0E">
      <w:pPr>
        <w:jc w:val="center"/>
        <w:rPr>
          <w:rFonts w:eastAsia="Calibri"/>
          <w:lang w:val="en-GB"/>
        </w:rPr>
      </w:pPr>
      <w:r w:rsidRPr="00E4438D">
        <w:rPr>
          <w:lang w:val="en-GB"/>
        </w:rPr>
        <w:t>_____________</w:t>
      </w:r>
    </w:p>
    <w:sectPr w:rsidR="00355E0E" w:rsidRPr="00E4438D" w:rsidSect="00DE5B36">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BC" w:rsidRDefault="006364BC">
      <w:r>
        <w:separator/>
      </w:r>
    </w:p>
  </w:endnote>
  <w:endnote w:type="continuationSeparator" w:id="0">
    <w:p w:rsidR="006364BC" w:rsidRDefault="0063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A2" w:rsidRPr="00DE5B36" w:rsidRDefault="00DE5B36" w:rsidP="00DE5B36">
    <w:pPr>
      <w:pStyle w:val="Footer"/>
    </w:pPr>
    <w:r>
      <w:t xml:space="preserve">COR-2015-03204-03-01-NB-TRA Pt 5a (EN) </w:t>
    </w:r>
    <w:r>
      <w:fldChar w:fldCharType="begin"/>
    </w:r>
    <w:r>
      <w:instrText xml:space="preserve"> PAGE  \* Arabic  \* MERGEFORMAT </w:instrText>
    </w:r>
    <w:r>
      <w:fldChar w:fldCharType="separate"/>
    </w:r>
    <w:r w:rsidR="00E4438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4438D">
      <w:rPr>
        <w:noProof/>
      </w:rPr>
      <w:instrText>3</w:instrText>
    </w:r>
    <w:r>
      <w:fldChar w:fldCharType="end"/>
    </w:r>
    <w:r>
      <w:instrText xml:space="preserve"> </w:instrText>
    </w:r>
    <w:r>
      <w:fldChar w:fldCharType="separate"/>
    </w:r>
    <w:r w:rsidR="00E4438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355E0E" w:rsidP="00DE5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DE5B36" w:rsidP="00DE5B36">
    <w:pPr>
      <w:pStyle w:val="Footer"/>
    </w:pPr>
    <w:r>
      <w:t xml:space="preserve">COR-2015-03204-03-01-NB-TRA Pt 5a (EN) </w:t>
    </w:r>
    <w:r>
      <w:fldChar w:fldCharType="begin"/>
    </w:r>
    <w:r>
      <w:instrText xml:space="preserve"> PAGE  \* Arabic  \* MERGEFORMAT </w:instrText>
    </w:r>
    <w:r>
      <w:fldChar w:fldCharType="separate"/>
    </w:r>
    <w:r w:rsidR="00E4438D">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E4438D">
      <w:rPr>
        <w:noProof/>
      </w:rPr>
      <w:instrText>3</w:instrText>
    </w:r>
    <w:r>
      <w:fldChar w:fldCharType="end"/>
    </w:r>
    <w:r>
      <w:instrText xml:space="preserve"> </w:instrText>
    </w:r>
    <w:r>
      <w:fldChar w:fldCharType="separate"/>
    </w:r>
    <w:r w:rsidR="00E4438D">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355E0E" w:rsidP="00DE5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BC" w:rsidRDefault="006364BC">
      <w:r>
        <w:separator/>
      </w:r>
    </w:p>
  </w:footnote>
  <w:footnote w:type="continuationSeparator" w:id="0">
    <w:p w:rsidR="006364BC" w:rsidRDefault="00636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355E0E" w:rsidP="00DE5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355E0E" w:rsidP="00DE5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Pr="00DE5B36" w:rsidRDefault="00355E0E" w:rsidP="00DE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206DD"/>
    <w:rsid w:val="00042F24"/>
    <w:rsid w:val="000456C7"/>
    <w:rsid w:val="00046B0C"/>
    <w:rsid w:val="00076966"/>
    <w:rsid w:val="000C6ED8"/>
    <w:rsid w:val="000D1C02"/>
    <w:rsid w:val="000E191D"/>
    <w:rsid w:val="000E4C12"/>
    <w:rsid w:val="00101047"/>
    <w:rsid w:val="001344DD"/>
    <w:rsid w:val="00134518"/>
    <w:rsid w:val="00145935"/>
    <w:rsid w:val="00152CB7"/>
    <w:rsid w:val="001531F7"/>
    <w:rsid w:val="0015692A"/>
    <w:rsid w:val="001724E6"/>
    <w:rsid w:val="00182770"/>
    <w:rsid w:val="001951A4"/>
    <w:rsid w:val="001A0B4E"/>
    <w:rsid w:val="001B3F99"/>
    <w:rsid w:val="001C654A"/>
    <w:rsid w:val="001E38F4"/>
    <w:rsid w:val="00203C1A"/>
    <w:rsid w:val="002341A0"/>
    <w:rsid w:val="002548DB"/>
    <w:rsid w:val="00280700"/>
    <w:rsid w:val="00293CE0"/>
    <w:rsid w:val="002A2C29"/>
    <w:rsid w:val="002B20FF"/>
    <w:rsid w:val="002C56D1"/>
    <w:rsid w:val="002E0A85"/>
    <w:rsid w:val="003323DB"/>
    <w:rsid w:val="00333B97"/>
    <w:rsid w:val="003452C1"/>
    <w:rsid w:val="003551D9"/>
    <w:rsid w:val="00355E0E"/>
    <w:rsid w:val="00375C79"/>
    <w:rsid w:val="00390E46"/>
    <w:rsid w:val="003A48EB"/>
    <w:rsid w:val="003A632A"/>
    <w:rsid w:val="003B63CC"/>
    <w:rsid w:val="003C690F"/>
    <w:rsid w:val="003D06F8"/>
    <w:rsid w:val="003D1342"/>
    <w:rsid w:val="003D1EDC"/>
    <w:rsid w:val="003F4A60"/>
    <w:rsid w:val="00414544"/>
    <w:rsid w:val="00415040"/>
    <w:rsid w:val="00422A4D"/>
    <w:rsid w:val="00423D75"/>
    <w:rsid w:val="004356A9"/>
    <w:rsid w:val="0043622E"/>
    <w:rsid w:val="00444D72"/>
    <w:rsid w:val="00455EEC"/>
    <w:rsid w:val="00457CBF"/>
    <w:rsid w:val="00486418"/>
    <w:rsid w:val="00487F6C"/>
    <w:rsid w:val="004B557A"/>
    <w:rsid w:val="004C73C5"/>
    <w:rsid w:val="004D1243"/>
    <w:rsid w:val="004D192E"/>
    <w:rsid w:val="004F1474"/>
    <w:rsid w:val="00500B07"/>
    <w:rsid w:val="0050400D"/>
    <w:rsid w:val="00505FEE"/>
    <w:rsid w:val="005268A3"/>
    <w:rsid w:val="00534B84"/>
    <w:rsid w:val="005368A7"/>
    <w:rsid w:val="0055427D"/>
    <w:rsid w:val="00575403"/>
    <w:rsid w:val="00576467"/>
    <w:rsid w:val="00582702"/>
    <w:rsid w:val="005851CA"/>
    <w:rsid w:val="00587FE7"/>
    <w:rsid w:val="005A75FF"/>
    <w:rsid w:val="005B6CFE"/>
    <w:rsid w:val="005D2857"/>
    <w:rsid w:val="005D3BD0"/>
    <w:rsid w:val="005F75CB"/>
    <w:rsid w:val="006364BC"/>
    <w:rsid w:val="00637457"/>
    <w:rsid w:val="00637E5B"/>
    <w:rsid w:val="0064132B"/>
    <w:rsid w:val="00662F58"/>
    <w:rsid w:val="00665655"/>
    <w:rsid w:val="0068165F"/>
    <w:rsid w:val="006847E8"/>
    <w:rsid w:val="006A1210"/>
    <w:rsid w:val="006B68E0"/>
    <w:rsid w:val="006D5F99"/>
    <w:rsid w:val="006E149D"/>
    <w:rsid w:val="00720BDD"/>
    <w:rsid w:val="007267A5"/>
    <w:rsid w:val="00732A02"/>
    <w:rsid w:val="007476DC"/>
    <w:rsid w:val="00764959"/>
    <w:rsid w:val="00770E6D"/>
    <w:rsid w:val="007737BC"/>
    <w:rsid w:val="007808EE"/>
    <w:rsid w:val="00783D79"/>
    <w:rsid w:val="007C0AC1"/>
    <w:rsid w:val="007D0978"/>
    <w:rsid w:val="007D7A05"/>
    <w:rsid w:val="007F1CC2"/>
    <w:rsid w:val="00805EB3"/>
    <w:rsid w:val="008152A1"/>
    <w:rsid w:val="00823DA0"/>
    <w:rsid w:val="00831851"/>
    <w:rsid w:val="00857D13"/>
    <w:rsid w:val="008763C6"/>
    <w:rsid w:val="00890CF6"/>
    <w:rsid w:val="00894250"/>
    <w:rsid w:val="008D3BE0"/>
    <w:rsid w:val="008E289B"/>
    <w:rsid w:val="009023BC"/>
    <w:rsid w:val="00927829"/>
    <w:rsid w:val="0094084F"/>
    <w:rsid w:val="00986E43"/>
    <w:rsid w:val="00992AF9"/>
    <w:rsid w:val="009B0703"/>
    <w:rsid w:val="009C007E"/>
    <w:rsid w:val="009C7972"/>
    <w:rsid w:val="009D0C09"/>
    <w:rsid w:val="009D2350"/>
    <w:rsid w:val="009F72BE"/>
    <w:rsid w:val="00A129CE"/>
    <w:rsid w:val="00A14E96"/>
    <w:rsid w:val="00A47840"/>
    <w:rsid w:val="00A6507B"/>
    <w:rsid w:val="00AA3D07"/>
    <w:rsid w:val="00AA6C1F"/>
    <w:rsid w:val="00AB1F25"/>
    <w:rsid w:val="00AB2471"/>
    <w:rsid w:val="00AB56E9"/>
    <w:rsid w:val="00AB65B3"/>
    <w:rsid w:val="00AE2183"/>
    <w:rsid w:val="00AE403B"/>
    <w:rsid w:val="00AF7920"/>
    <w:rsid w:val="00B12E68"/>
    <w:rsid w:val="00B14131"/>
    <w:rsid w:val="00B32745"/>
    <w:rsid w:val="00B43854"/>
    <w:rsid w:val="00B66785"/>
    <w:rsid w:val="00B763B5"/>
    <w:rsid w:val="00B76C8F"/>
    <w:rsid w:val="00B9367B"/>
    <w:rsid w:val="00BB29EC"/>
    <w:rsid w:val="00BB3CA2"/>
    <w:rsid w:val="00BC7716"/>
    <w:rsid w:val="00BD3AEF"/>
    <w:rsid w:val="00C13BA6"/>
    <w:rsid w:val="00C3229E"/>
    <w:rsid w:val="00C32A66"/>
    <w:rsid w:val="00C57DF4"/>
    <w:rsid w:val="00C65D52"/>
    <w:rsid w:val="00C667AE"/>
    <w:rsid w:val="00C90ACC"/>
    <w:rsid w:val="00CF0C7E"/>
    <w:rsid w:val="00CF1EBD"/>
    <w:rsid w:val="00D11AF4"/>
    <w:rsid w:val="00D57971"/>
    <w:rsid w:val="00D6291C"/>
    <w:rsid w:val="00D94F7D"/>
    <w:rsid w:val="00DE5B36"/>
    <w:rsid w:val="00E0582C"/>
    <w:rsid w:val="00E25F0A"/>
    <w:rsid w:val="00E31F2D"/>
    <w:rsid w:val="00E41AAD"/>
    <w:rsid w:val="00E4438D"/>
    <w:rsid w:val="00E666D6"/>
    <w:rsid w:val="00E72289"/>
    <w:rsid w:val="00E87A7D"/>
    <w:rsid w:val="00ED2BCD"/>
    <w:rsid w:val="00ED6B31"/>
    <w:rsid w:val="00EE3E1A"/>
    <w:rsid w:val="00EF4D50"/>
    <w:rsid w:val="00F227C2"/>
    <w:rsid w:val="00F24C84"/>
    <w:rsid w:val="00F31946"/>
    <w:rsid w:val="00F35EB3"/>
    <w:rsid w:val="00F45AC7"/>
    <w:rsid w:val="00F61C22"/>
    <w:rsid w:val="00F82655"/>
    <w:rsid w:val="00F82B62"/>
    <w:rsid w:val="00F929C3"/>
    <w:rsid w:val="00FB06D2"/>
    <w:rsid w:val="00FC4466"/>
    <w:rsid w:val="00FC70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lang w:val="nl-BE" w:eastAsia="en-US"/>
    </w:rPr>
  </w:style>
  <w:style w:type="paragraph" w:styleId="Heading1">
    <w:name w:val="heading 1"/>
    <w:basedOn w:val="Normal"/>
    <w:next w:val="Normal"/>
    <w:link w:val="Heading1Char"/>
    <w:qFormat/>
    <w:rsid w:val="009C7972"/>
    <w:pPr>
      <w:numPr>
        <w:numId w:val="1"/>
      </w:numPr>
      <w:ind w:left="720" w:hanging="720"/>
      <w:outlineLvl w:val="0"/>
    </w:pPr>
    <w:rPr>
      <w:kern w:val="28"/>
    </w:rPr>
  </w:style>
  <w:style w:type="paragraph" w:styleId="Heading2">
    <w:name w:val="heading 2"/>
    <w:basedOn w:val="Normal"/>
    <w:next w:val="Normal"/>
    <w:link w:val="Heading2Char"/>
    <w:qFormat/>
    <w:rsid w:val="009C7972"/>
    <w:pPr>
      <w:numPr>
        <w:ilvl w:val="1"/>
        <w:numId w:val="1"/>
      </w:numPr>
      <w:ind w:left="720" w:hanging="720"/>
      <w:outlineLvl w:val="1"/>
    </w:pPr>
  </w:style>
  <w:style w:type="paragraph" w:styleId="Heading3">
    <w:name w:val="heading 3"/>
    <w:basedOn w:val="Normal"/>
    <w:next w:val="Normal"/>
    <w:link w:val="Heading3Char"/>
    <w:qFormat/>
    <w:rsid w:val="009C7972"/>
    <w:pPr>
      <w:numPr>
        <w:ilvl w:val="2"/>
        <w:numId w:val="1"/>
      </w:numPr>
      <w:ind w:left="720" w:hanging="720"/>
      <w:outlineLvl w:val="2"/>
    </w:pPr>
  </w:style>
  <w:style w:type="paragraph" w:styleId="Heading4">
    <w:name w:val="heading 4"/>
    <w:basedOn w:val="Normal"/>
    <w:next w:val="Normal"/>
    <w:link w:val="Heading4Char"/>
    <w:qFormat/>
    <w:rsid w:val="009C7972"/>
    <w:pPr>
      <w:numPr>
        <w:ilvl w:val="3"/>
        <w:numId w:val="1"/>
      </w:numPr>
      <w:ind w:left="720" w:hanging="720"/>
      <w:outlineLvl w:val="3"/>
    </w:pPr>
  </w:style>
  <w:style w:type="paragraph" w:styleId="Heading5">
    <w:name w:val="heading 5"/>
    <w:basedOn w:val="Normal"/>
    <w:next w:val="Normal"/>
    <w:link w:val="Heading5Char"/>
    <w:qFormat/>
    <w:rsid w:val="009C7972"/>
    <w:pPr>
      <w:numPr>
        <w:ilvl w:val="4"/>
        <w:numId w:val="1"/>
      </w:numPr>
      <w:ind w:left="720" w:hanging="720"/>
      <w:outlineLvl w:val="4"/>
    </w:pPr>
  </w:style>
  <w:style w:type="paragraph" w:styleId="Heading6">
    <w:name w:val="heading 6"/>
    <w:basedOn w:val="Normal"/>
    <w:next w:val="Normal"/>
    <w:link w:val="Heading6Char"/>
    <w:qFormat/>
    <w:rsid w:val="009C7972"/>
    <w:pPr>
      <w:numPr>
        <w:ilvl w:val="5"/>
        <w:numId w:val="1"/>
      </w:numPr>
      <w:ind w:left="720" w:hanging="720"/>
      <w:outlineLvl w:val="5"/>
    </w:pPr>
  </w:style>
  <w:style w:type="paragraph" w:styleId="Heading7">
    <w:name w:val="heading 7"/>
    <w:basedOn w:val="Normal"/>
    <w:next w:val="Normal"/>
    <w:link w:val="Heading7Char"/>
    <w:qFormat/>
    <w:rsid w:val="009C7972"/>
    <w:pPr>
      <w:numPr>
        <w:ilvl w:val="6"/>
        <w:numId w:val="1"/>
      </w:numPr>
      <w:ind w:left="720" w:hanging="720"/>
      <w:outlineLvl w:val="6"/>
    </w:pPr>
  </w:style>
  <w:style w:type="paragraph" w:styleId="Heading8">
    <w:name w:val="heading 8"/>
    <w:basedOn w:val="Normal"/>
    <w:next w:val="Normal"/>
    <w:link w:val="Heading8Char"/>
    <w:qFormat/>
    <w:rsid w:val="009C7972"/>
    <w:pPr>
      <w:numPr>
        <w:ilvl w:val="7"/>
        <w:numId w:val="1"/>
      </w:numPr>
      <w:ind w:left="720" w:hanging="720"/>
      <w:outlineLvl w:val="7"/>
    </w:pPr>
  </w:style>
  <w:style w:type="paragraph" w:styleId="Heading9">
    <w:name w:val="heading 9"/>
    <w:basedOn w:val="Normal"/>
    <w:next w:val="Normal"/>
    <w:link w:val="Heading9Char"/>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nl-BE" w:eastAsia="en-US"/>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nl-BE" w:eastAsia="en-US"/>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nl-BE" w:eastAsia="en-US"/>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nl-BE" w:eastAsia="en-US"/>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nl-BE" w:eastAsia="en-US"/>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nl-BE" w:eastAsia="en-US"/>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nl-BE" w:eastAsia="en-US"/>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nl-BE" w:eastAsia="en-US"/>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nl-BE" w:eastAsia="en-US"/>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nl-BE" w:eastAsia="en-US"/>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nl-BE" w:eastAsia="en-US"/>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nl-BE" w:eastAsia="en-US"/>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nl-BE" w:eastAsia="en-US"/>
    </w:rPr>
  </w:style>
  <w:style w:type="paragraph" w:styleId="Revision">
    <w:name w:val="Revision"/>
    <w:hidden/>
    <w:uiPriority w:val="99"/>
    <w:semiHidden/>
    <w:rsid w:val="00831851"/>
    <w:rPr>
      <w:sz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lang w:val="nl-BE" w:eastAsia="en-US"/>
    </w:rPr>
  </w:style>
  <w:style w:type="paragraph" w:styleId="Heading1">
    <w:name w:val="heading 1"/>
    <w:basedOn w:val="Normal"/>
    <w:next w:val="Normal"/>
    <w:link w:val="Heading1Char"/>
    <w:qFormat/>
    <w:rsid w:val="009C7972"/>
    <w:pPr>
      <w:numPr>
        <w:numId w:val="1"/>
      </w:numPr>
      <w:ind w:left="720" w:hanging="720"/>
      <w:outlineLvl w:val="0"/>
    </w:pPr>
    <w:rPr>
      <w:kern w:val="28"/>
    </w:rPr>
  </w:style>
  <w:style w:type="paragraph" w:styleId="Heading2">
    <w:name w:val="heading 2"/>
    <w:basedOn w:val="Normal"/>
    <w:next w:val="Normal"/>
    <w:link w:val="Heading2Char"/>
    <w:qFormat/>
    <w:rsid w:val="009C7972"/>
    <w:pPr>
      <w:numPr>
        <w:ilvl w:val="1"/>
        <w:numId w:val="1"/>
      </w:numPr>
      <w:ind w:left="720" w:hanging="720"/>
      <w:outlineLvl w:val="1"/>
    </w:pPr>
  </w:style>
  <w:style w:type="paragraph" w:styleId="Heading3">
    <w:name w:val="heading 3"/>
    <w:basedOn w:val="Normal"/>
    <w:next w:val="Normal"/>
    <w:link w:val="Heading3Char"/>
    <w:qFormat/>
    <w:rsid w:val="009C7972"/>
    <w:pPr>
      <w:numPr>
        <w:ilvl w:val="2"/>
        <w:numId w:val="1"/>
      </w:numPr>
      <w:ind w:left="720" w:hanging="720"/>
      <w:outlineLvl w:val="2"/>
    </w:pPr>
  </w:style>
  <w:style w:type="paragraph" w:styleId="Heading4">
    <w:name w:val="heading 4"/>
    <w:basedOn w:val="Normal"/>
    <w:next w:val="Normal"/>
    <w:link w:val="Heading4Char"/>
    <w:qFormat/>
    <w:rsid w:val="009C7972"/>
    <w:pPr>
      <w:numPr>
        <w:ilvl w:val="3"/>
        <w:numId w:val="1"/>
      </w:numPr>
      <w:ind w:left="720" w:hanging="720"/>
      <w:outlineLvl w:val="3"/>
    </w:pPr>
  </w:style>
  <w:style w:type="paragraph" w:styleId="Heading5">
    <w:name w:val="heading 5"/>
    <w:basedOn w:val="Normal"/>
    <w:next w:val="Normal"/>
    <w:link w:val="Heading5Char"/>
    <w:qFormat/>
    <w:rsid w:val="009C7972"/>
    <w:pPr>
      <w:numPr>
        <w:ilvl w:val="4"/>
        <w:numId w:val="1"/>
      </w:numPr>
      <w:ind w:left="720" w:hanging="720"/>
      <w:outlineLvl w:val="4"/>
    </w:pPr>
  </w:style>
  <w:style w:type="paragraph" w:styleId="Heading6">
    <w:name w:val="heading 6"/>
    <w:basedOn w:val="Normal"/>
    <w:next w:val="Normal"/>
    <w:link w:val="Heading6Char"/>
    <w:qFormat/>
    <w:rsid w:val="009C7972"/>
    <w:pPr>
      <w:numPr>
        <w:ilvl w:val="5"/>
        <w:numId w:val="1"/>
      </w:numPr>
      <w:ind w:left="720" w:hanging="720"/>
      <w:outlineLvl w:val="5"/>
    </w:pPr>
  </w:style>
  <w:style w:type="paragraph" w:styleId="Heading7">
    <w:name w:val="heading 7"/>
    <w:basedOn w:val="Normal"/>
    <w:next w:val="Normal"/>
    <w:link w:val="Heading7Char"/>
    <w:qFormat/>
    <w:rsid w:val="009C7972"/>
    <w:pPr>
      <w:numPr>
        <w:ilvl w:val="6"/>
        <w:numId w:val="1"/>
      </w:numPr>
      <w:ind w:left="720" w:hanging="720"/>
      <w:outlineLvl w:val="6"/>
    </w:pPr>
  </w:style>
  <w:style w:type="paragraph" w:styleId="Heading8">
    <w:name w:val="heading 8"/>
    <w:basedOn w:val="Normal"/>
    <w:next w:val="Normal"/>
    <w:link w:val="Heading8Char"/>
    <w:qFormat/>
    <w:rsid w:val="009C7972"/>
    <w:pPr>
      <w:numPr>
        <w:ilvl w:val="7"/>
        <w:numId w:val="1"/>
      </w:numPr>
      <w:ind w:left="720" w:hanging="720"/>
      <w:outlineLvl w:val="7"/>
    </w:pPr>
  </w:style>
  <w:style w:type="paragraph" w:styleId="Heading9">
    <w:name w:val="heading 9"/>
    <w:basedOn w:val="Normal"/>
    <w:next w:val="Normal"/>
    <w:link w:val="Heading9Char"/>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nl-BE" w:eastAsia="en-US"/>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nl-BE" w:eastAsia="en-US"/>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nl-BE" w:eastAsia="en-US"/>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nl-BE" w:eastAsia="en-US"/>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nl-BE" w:eastAsia="en-US"/>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nl-BE" w:eastAsia="en-US"/>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nl-BE" w:eastAsia="en-US"/>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nl-BE" w:eastAsia="en-US"/>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nl-BE" w:eastAsia="en-US"/>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nl-BE" w:eastAsia="en-US"/>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nl-BE" w:eastAsia="en-US"/>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nl-BE" w:eastAsia="en-US"/>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nl-BE" w:eastAsia="en-US"/>
    </w:rPr>
  </w:style>
  <w:style w:type="paragraph" w:styleId="Revision">
    <w:name w:val="Revision"/>
    <w:hidden/>
    <w:uiPriority w:val="99"/>
    <w:semiHidden/>
    <w:rsid w:val="00831851"/>
    <w:rPr>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32DPXCYX3S74-7-839</_dlc_DocId>
    <_dlc_DocIdUrl xmlns="61ca3f1a-19f4-461d-a43b-0b5ad97b08be">
      <Url>http://dm2016/cor/2015/_layouts/DocIdRedir.aspx?ID=32DPXCYX3S74-7-839</Url>
      <Description>32DPXCYX3S74-7-839</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2B212-92B9-44CF-B91D-6A246B56A6D0}"/>
</file>

<file path=customXml/itemProps2.xml><?xml version="1.0" encoding="utf-8"?>
<ds:datastoreItem xmlns:ds="http://schemas.openxmlformats.org/officeDocument/2006/customXml" ds:itemID="{FF511921-8380-4A1C-98BB-837B1F2F54FB}"/>
</file>

<file path=customXml/itemProps3.xml><?xml version="1.0" encoding="utf-8"?>
<ds:datastoreItem xmlns:ds="http://schemas.openxmlformats.org/officeDocument/2006/customXml" ds:itemID="{819A910B-491D-4429-A32C-F61E13469390}"/>
</file>

<file path=customXml/itemProps4.xml><?xml version="1.0" encoding="utf-8"?>
<ds:datastoreItem xmlns:ds="http://schemas.openxmlformats.org/officeDocument/2006/customXml" ds:itemID="{A37F0988-1ECC-4789-9BDA-13EE1B04AA1A}"/>
</file>

<file path=docProps/app.xml><?xml version="1.0" encoding="utf-8"?>
<Properties xmlns="http://schemas.openxmlformats.org/officeDocument/2006/extended-properties" xmlns:vt="http://schemas.openxmlformats.org/officeDocument/2006/docPropsVTypes">
  <Template>Styles.dotm</Template>
  <TotalTime>0</TotalTime>
  <Pages>3</Pages>
  <Words>1707</Words>
  <Characters>9437</Characters>
  <Application>Microsoft Office Word</Application>
  <DocSecurity>0</DocSecurity>
  <Lines>213</Lines>
  <Paragraphs>50</Paragraphs>
  <ScaleCrop>false</ScaleCrop>
  <HeadingPairs>
    <vt:vector size="2" baseType="variant">
      <vt:variant>
        <vt:lpstr>Title</vt:lpstr>
      </vt:variant>
      <vt:variant>
        <vt:i4>1</vt:i4>
      </vt:variant>
    </vt:vector>
  </HeadingPairs>
  <TitlesOfParts>
    <vt:vector size="1" baseType="lpstr">
      <vt:lpstr>Bureau memo R_CDR15-2009_PT10_NB_EN</vt:lpstr>
    </vt:vector>
  </TitlesOfParts>
  <Company>CESE-CdR</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5a - Report on the impact of CoR opinions - Executive Summary</dc:title>
  <dc:subject>Bureau memo</dc:subject>
  <dc:creator/>
  <cp:keywords>COR-2015-03204-03-01-NB-TRA-EN</cp:keywords>
  <dc:description>Rapporteur: -_x000d_
Original language: EN_x000d_
Date of document: 25/06/2015_x000d_
Date of meeting: 07/07/2015_x000d_
External documents: -_x000d_
Administrator responsible: Bouquerel Caroline, telephone: + 2 546 9019_x000d_
_x000d_
Abstract:</dc:description>
  <cp:lastModifiedBy>Ausra Mette</cp:lastModifiedBy>
  <cp:revision>8</cp:revision>
  <cp:lastPrinted>2015-06-17T13:16:00Z</cp:lastPrinted>
  <dcterms:created xsi:type="dcterms:W3CDTF">2015-06-25T08:05:00Z</dcterms:created>
  <dcterms:modified xsi:type="dcterms:W3CDTF">2015-06-25T08:51:00Z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25/06/2015, 25/06/2015</vt:lpwstr>
  </property>
  <property fmtid="{D5CDD505-2E9C-101B-9397-08002B2CF9AE}" pid="4" name="Pref_Time">
    <vt:lpwstr>10:05:38, 09:18:57</vt:lpwstr>
  </property>
  <property fmtid="{D5CDD505-2E9C-101B-9397-08002B2CF9AE}" pid="5" name="Pref_User">
    <vt:lpwstr>dtai, htoo</vt:lpwstr>
  </property>
  <property fmtid="{D5CDD505-2E9C-101B-9397-08002B2CF9AE}" pid="6" name="Pref_FileName">
    <vt:lpwstr>COR-2015-03204-03-01-NB-TRA-EN-CRR.docx, COR-2015-03204-03-01-NB-CRR-EN.docx</vt:lpwstr>
  </property>
  <property fmtid="{D5CDD505-2E9C-101B-9397-08002B2CF9AE}" pid="7" name="ContentTypeId">
    <vt:lpwstr>0x010100C05359D026D5844F9121FDC8959506FD</vt:lpwstr>
  </property>
  <property fmtid="{D5CDD505-2E9C-101B-9397-08002B2CF9AE}" pid="8" name="_dlc_DocIdItemGuid">
    <vt:lpwstr>c1f209b8-2107-4860-b714-4c7f82b7c8b8</vt:lpwstr>
  </property>
  <property fmtid="{D5CDD505-2E9C-101B-9397-08002B2CF9AE}" pid="9" name="DocumentType_0">
    <vt:lpwstr>NB|086d36d2-b81a-4b8e-8d1e-a22010addc8b</vt:lpwstr>
  </property>
  <property fmtid="{D5CDD505-2E9C-101B-9397-08002B2CF9AE}" pid="10" name="AvailableTranslations">
    <vt:lpwstr>34;#LT|a7ff5ce7-6123-4f68-865a-a57c31810414;#25;#CS|72f9705b-0217-4fd3-bea2-cbc7ed80e26e;#30;#ET|ff6c3f4c-b02c-4c3c-ab07-2c37995a7a0a;#31;#HR|2f555653-ed1a-4fe6-8362-9082d95989e5;#26;#NL|55c6556c-b4f4-441d-9acf-c498d4f838bd;#17;#SV|c2ed69e7-a339-43d7-8f22-d93680a92aa0;#33;#MT|7df99101-6854-4a26-b53a-b88c0da02c26;#15;#IT|0774613c-01ed-4e5d-a25d-11d2388de825;#10;#EN|f2175f21-25d7-44a3-96da-d6a61b075e1b;#18;#PT|50ccc04a-eadd-42ae-a0cb-acaf45f812ba;#19;#EL|6d4f4d51-af9b-4650-94b4-4276bee85c91;#35;#HU|6b229040-c589-4408-b4c1-4285663d20a8;#16;#PL|1e03da61-4678-4e07-b136-b5024ca9197b;#20;#ES|e7a6b05b-ae16-40c8-add9-68b64b03aeba;#22;#DA|5d49c027-8956-412b-aa16-e85a0f96ad0e;#23;#BG|1a1b3951-7821-4e6a-85f5-5673fc08bd2c;#29;#SK|46d9fce0-ef79-4f71-b89b-cd6aa82426b8;#27;#FI|87606a43-d45f-42d6-b8c9-e1a3457db5b7;#32;#LV|46f7e311-5d9f-4663-b433-18aeccb7ace7;#4;#DE|f6b31e5a-26fa-4935-b661-318e46daf27e;#7;#FR|d2afafd3-4c81-4f60-8f52-ee33f2f54ff3;#24;#RO|feb747a2-64cd-4299-af12-4833ddc30497;#21;#SL|98a412ae-eb01-49e9-ae3d-585a81724cf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2015</vt:i4>
  </property>
  <property fmtid="{D5CDD505-2E9C-101B-9397-08002B2CF9AE}" pid="14" name="DocumentNumber">
    <vt:i4>3204</vt:i4>
  </property>
  <property fmtid="{D5CDD505-2E9C-101B-9397-08002B2CF9AE}" pid="15" name="DocumentVersion">
    <vt:i4>1</vt:i4>
  </property>
  <property fmtid="{D5CDD505-2E9C-101B-9397-08002B2CF9AE}" pid="17" name="DocumentType">
    <vt:lpwstr>46;#NB|086d36d2-b81a-4b8e-8d1e-a22010addc8b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Part">
    <vt:i4>3</vt:i4>
  </property>
  <property fmtid="{D5CDD505-2E9C-101B-9397-08002B2CF9AE}" pid="22" name="RequestingService">
    <vt:lpwstr>Greffe, services aux membres, délégations nationales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CDR|c746c8a5-35bb-487b-9ea7-3f1412c8eddb</vt:lpwstr>
  </property>
  <property fmtid="{D5CDD505-2E9C-101B-9397-08002B2CF9AE}" pid="26" name="OriginalLanguage">
    <vt:lpwstr>10;#EN|f2175f21-25d7-44a3-96da-d6a61b075e1b</vt:lpwstr>
  </property>
  <property fmtid="{D5CDD505-2E9C-101B-9397-08002B2CF9AE}" pid="27" name="MeetingName">
    <vt:lpwstr>53;#BUR CDR|c746c8a5-35bb-487b-9ea7-3f1412c8eddb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2015-07-07T12:00:00Z</vt:filetime>
  </property>
  <property fmtid="{D5CDD505-2E9C-101B-9397-08002B2CF9AE}" pid="31" name="TaxCatchAll">
    <vt:lpwstr>10;#EN|f2175f21-25d7-44a3-96da-d6a61b075e1b;#53;#BUR CDR|c746c8a5-35bb-487b-9ea7-3f1412c8eddb;#63;#Final|ea5e6674-7b27-4bac-b091-73adbb394efe;#5;#Unrestricted|826e22d7-d029-4ec0-a450-0c28ff673572;#46;#NB|086d36d2-b81a-4b8e-8d1e-a22010addc8b;#2;#TRA|150d2a88-1431-44e6-a8ca-0bb753ab8672;#1;#CoR|cb2d75ef-4a7d-4393-b797-49ed6298a5ea</vt:lpwstr>
  </property>
  <property fmtid="{D5CDD505-2E9C-101B-9397-08002B2CF9AE}" pid="32" name="AvailableTranslations_0">
    <vt:lpwstr/>
  </property>
  <property fmtid="{D5CDD505-2E9C-101B-9397-08002B2CF9AE}" pid="33" name="VersionStatus">
    <vt:lpwstr>63;#Final|ea5e6674-7b27-4bac-b091-73adbb394efe</vt:lpwstr>
  </property>
  <property fmtid="{D5CDD505-2E9C-101B-9397-08002B2CF9AE}" pid="34" name="VersionStatus_0">
    <vt:lpwstr>Final|ea5e6674-7b27-4bac-b091-73adbb394efe</vt:lpwstr>
  </property>
  <property fmtid="{D5CDD505-2E9C-101B-9397-08002B2CF9AE}" pid="35" name="FicheNumber">
    <vt:i4>6727</vt:i4>
  </property>
  <property fmtid="{D5CDD505-2E9C-101B-9397-08002B2CF9AE}" pid="36" name="DocumentYear">
    <vt:i4>2015</vt:i4>
  </property>
  <property fmtid="{D5CDD505-2E9C-101B-9397-08002B2CF9AE}" pid="37" name="DocumentLanguage">
    <vt:lpwstr>10;#EN|f2175f21-25d7-44a3-96da-d6a61b075e1b</vt:lpwstr>
  </property>
</Properties>
</file>