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73FC" w:rsidRPr="00D008D2" w:rsidRDefault="009973FC" w:rsidP="00C86D23">
      <w:pPr>
        <w:overflowPunct/>
        <w:adjustRightInd/>
        <w:jc w:val="center"/>
        <w:textAlignment w:val="auto"/>
        <w:rPr>
          <w:sz w:val="20"/>
        </w:rPr>
      </w:pPr>
      <w:r w:rsidRPr="00D008D2">
        <w:rPr>
          <w:noProof/>
          <w:lang w:val="en-US"/>
        </w:rPr>
        <mc:AlternateContent>
          <mc:Choice Requires="wps">
            <w:drawing>
              <wp:anchor distT="0" distB="0" distL="114300" distR="114300" simplePos="0" relativeHeight="251659264" behindDoc="1" locked="0" layoutInCell="0" allowOverlap="1" wp14:anchorId="28B9D99D" wp14:editId="7CDE26BC">
                <wp:simplePos x="0" y="0"/>
                <wp:positionH relativeFrom="page">
                  <wp:posOffset>6767830</wp:posOffset>
                </wp:positionH>
                <wp:positionV relativeFrom="page">
                  <wp:posOffset>10079990</wp:posOffset>
                </wp:positionV>
                <wp:extent cx="644837" cy="449271"/>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7" cy="449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67" w:rsidRPr="00D008D2" w:rsidRDefault="00646E67" w:rsidP="00D008D2">
                            <w:pPr>
                              <w:overflowPunct/>
                              <w:adjustRightInd/>
                              <w:jc w:val="center"/>
                              <w:textAlignment w:val="auto"/>
                              <w:rPr>
                                <w:rFonts w:ascii="Arial" w:hAnsi="Arial" w:cs="Arial"/>
                                <w:b/>
                                <w:sz w:val="48"/>
                              </w:rPr>
                            </w:pPr>
                            <w:r w:rsidRPr="00D008D2">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1" style="position:absolute;left:0;text-align:left;margin-left:532.9pt;margin-top:793.7pt;width:50.75pt;height:3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XyswIAALg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">
                <v:textbox>
                  <w:txbxContent>
                    <w:p w:rsidRPr="00D008D2" w:rsidR="00646E67" w:rsidP="00D008D2" w:rsidRDefault="00646E67">
                      <w:pPr>
                        <w:overflowPunct/>
                        <w:adjustRightInd/>
                        <w:jc w:val="center"/>
                        <w:textAlignment w:val="auto"/>
                        <w:rPr>
                          <w:rFonts w:ascii="Arial" w:hAnsi="Arial" w:cs="Arial"/>
                          <w:b/>
                          <w:sz w:val="48"/>
                        </w:rPr>
                      </w:pPr>
                      <w:r w:rsidRPr="00D008D2">
                        <w:rPr>
                          <w:rFonts w:ascii="Arial" w:hAnsi="Arial" w:cs="Arial"/>
                          <w:b/>
                          <w:sz w:val="48"/>
                        </w:rPr>
                        <w:t>EN</w:t>
                      </w:r>
                    </w:p>
                  </w:txbxContent>
                </v:textbox>
                <w10:wrap anchorx="page" anchory="page"/>
              </v:shape>
            </w:pict>
          </mc:Fallback>
        </mc:AlternateContent>
      </w:r>
      <w:r w:rsidR="002A648F" w:rsidRPr="00D008D2">
        <w:rPr>
          <w:rFonts w:eastAsia="Arial Unicode MS"/>
          <w:noProof/>
          <w:lang w:val="en-US"/>
        </w:rPr>
        <w:drawing>
          <wp:inline distT="0" distB="0" distL="0" distR="0" wp14:anchorId="7180FE2B" wp14:editId="7CA3ABD5">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p>
    <w:p w:rsidR="009973FC" w:rsidRPr="00D008D2" w:rsidRDefault="009973FC" w:rsidP="00C86D23">
      <w:pPr>
        <w:pBdr>
          <w:top w:val="single" w:sz="4" w:space="1" w:color="auto"/>
          <w:left w:val="single" w:sz="4" w:space="4" w:color="auto"/>
          <w:bottom w:val="single" w:sz="4" w:space="1" w:color="auto"/>
          <w:right w:val="single" w:sz="4" w:space="4" w:color="auto"/>
        </w:pBdr>
        <w:overflowPunct/>
        <w:adjustRightInd/>
        <w:jc w:val="center"/>
        <w:textAlignment w:val="auto"/>
        <w:rPr>
          <w:b/>
        </w:rPr>
      </w:pPr>
    </w:p>
    <w:p w:rsidR="009973FC" w:rsidRPr="00D008D2" w:rsidRDefault="001A41A0" w:rsidP="00C86D23">
      <w:pPr>
        <w:pBdr>
          <w:top w:val="single" w:sz="4" w:space="1" w:color="auto"/>
          <w:left w:val="single" w:sz="4" w:space="4" w:color="auto"/>
          <w:bottom w:val="single" w:sz="4" w:space="1" w:color="auto"/>
          <w:right w:val="single" w:sz="4" w:space="4" w:color="auto"/>
        </w:pBdr>
        <w:overflowPunct/>
        <w:adjustRightInd/>
        <w:jc w:val="center"/>
        <w:textAlignment w:val="auto"/>
        <w:rPr>
          <w:b/>
        </w:rPr>
      </w:pPr>
      <w:r w:rsidRPr="00D008D2">
        <w:rPr>
          <w:b/>
        </w:rPr>
        <w:t>201</w:t>
      </w:r>
      <w:r w:rsidR="00D8670B" w:rsidRPr="00D008D2">
        <w:rPr>
          <w:b/>
        </w:rPr>
        <w:t>8</w:t>
      </w:r>
      <w:r w:rsidRPr="00D008D2">
        <w:rPr>
          <w:b/>
        </w:rPr>
        <w:t xml:space="preserve"> </w:t>
      </w:r>
      <w:r w:rsidR="00210398" w:rsidRPr="00D008D2">
        <w:rPr>
          <w:b/>
        </w:rPr>
        <w:t xml:space="preserve">Action Plan </w:t>
      </w:r>
      <w:r w:rsidRPr="00D008D2">
        <w:rPr>
          <w:b/>
        </w:rPr>
        <w:t xml:space="preserve">of the </w:t>
      </w:r>
      <w:r w:rsidR="009973FC" w:rsidRPr="00D008D2">
        <w:rPr>
          <w:b/>
          <w:i/>
        </w:rPr>
        <w:t>Knowledge Exchange Platform (KEP)</w:t>
      </w:r>
      <w:r w:rsidR="009973FC" w:rsidRPr="00D008D2">
        <w:rPr>
          <w:b/>
        </w:rPr>
        <w:t xml:space="preserve"> </w:t>
      </w:r>
    </w:p>
    <w:p w:rsidR="00244556" w:rsidRPr="00D008D2" w:rsidRDefault="009973FC" w:rsidP="00C86D23">
      <w:pPr>
        <w:pBdr>
          <w:top w:val="single" w:sz="4" w:space="1" w:color="auto"/>
          <w:left w:val="single" w:sz="4" w:space="4" w:color="auto"/>
          <w:bottom w:val="single" w:sz="4" w:space="1" w:color="auto"/>
          <w:right w:val="single" w:sz="4" w:space="4" w:color="auto"/>
        </w:pBdr>
        <w:overflowPunct/>
        <w:adjustRightInd/>
        <w:jc w:val="center"/>
        <w:textAlignment w:val="auto"/>
        <w:rPr>
          <w:b/>
        </w:rPr>
      </w:pPr>
      <w:r w:rsidRPr="00D008D2" w:rsidDel="001D146C">
        <w:rPr>
          <w:b/>
        </w:rPr>
        <w:t>European Committee of the Regions</w:t>
      </w:r>
    </w:p>
    <w:p w:rsidR="00F709D4" w:rsidRPr="00D008D2" w:rsidRDefault="00F709D4" w:rsidP="00C86D23">
      <w:pPr>
        <w:pBdr>
          <w:top w:val="single" w:sz="4" w:space="1" w:color="auto"/>
          <w:left w:val="single" w:sz="4" w:space="4" w:color="auto"/>
          <w:bottom w:val="single" w:sz="4" w:space="1" w:color="auto"/>
          <w:right w:val="single" w:sz="4" w:space="4" w:color="auto"/>
        </w:pBdr>
        <w:overflowPunct/>
        <w:adjustRightInd/>
        <w:jc w:val="center"/>
        <w:textAlignment w:val="auto"/>
        <w:rPr>
          <w:b/>
        </w:rPr>
      </w:pPr>
    </w:p>
    <w:p w:rsidR="00053950" w:rsidRPr="00D008D2" w:rsidRDefault="00053950" w:rsidP="00C86D23">
      <w:pPr>
        <w:overflowPunct/>
        <w:adjustRightInd/>
        <w:ind w:left="720" w:hanging="720"/>
        <w:contextualSpacing/>
        <w:jc w:val="center"/>
        <w:textAlignment w:val="auto"/>
        <w:rPr>
          <w:b/>
        </w:rPr>
      </w:pPr>
    </w:p>
    <w:p w:rsidR="0030613D" w:rsidRPr="00D008D2" w:rsidRDefault="0030613D" w:rsidP="00C86D23">
      <w:pPr>
        <w:overflowPunct/>
        <w:adjustRightInd/>
        <w:ind w:left="720" w:hanging="720"/>
        <w:contextualSpacing/>
        <w:jc w:val="center"/>
        <w:textAlignment w:val="auto"/>
        <w:rPr>
          <w:b/>
        </w:rPr>
      </w:pPr>
    </w:p>
    <w:p w:rsidR="001A41A0" w:rsidRPr="00D008D2" w:rsidRDefault="001A41A0" w:rsidP="00C86D23">
      <w:pPr>
        <w:overflowPunct/>
        <w:adjustRightInd/>
        <w:contextualSpacing/>
        <w:textAlignment w:val="auto"/>
      </w:pPr>
      <w:r w:rsidRPr="00D008D2">
        <w:t xml:space="preserve">The </w:t>
      </w:r>
      <w:r w:rsidRPr="00D008D2">
        <w:rPr>
          <w:b/>
        </w:rPr>
        <w:t>Knowledge Exchange Platform (KEP)</w:t>
      </w:r>
      <w:r w:rsidRPr="00D008D2">
        <w:t xml:space="preserve"> </w:t>
      </w:r>
      <w:r w:rsidR="00053950" w:rsidRPr="00D008D2">
        <w:t>is a form of</w:t>
      </w:r>
      <w:r w:rsidR="004039DD" w:rsidRPr="00D008D2">
        <w:t xml:space="preserve"> </w:t>
      </w:r>
      <w:r w:rsidR="008E1560" w:rsidRPr="00D008D2">
        <w:t>cooperation</w:t>
      </w:r>
      <w:r w:rsidRPr="00D008D2">
        <w:t xml:space="preserve"> between the</w:t>
      </w:r>
      <w:r w:rsidR="009B0586" w:rsidRPr="00D008D2">
        <w:t xml:space="preserve"> European </w:t>
      </w:r>
      <w:r w:rsidRPr="00D008D2">
        <w:t>Committee of the Regions (</w:t>
      </w:r>
      <w:proofErr w:type="spellStart"/>
      <w:r w:rsidRPr="00D008D2">
        <w:t>CoR</w:t>
      </w:r>
      <w:proofErr w:type="spellEnd"/>
      <w:r w:rsidRPr="00D008D2">
        <w:t xml:space="preserve">) and the European Commission's DG for Research and Innovation (DG RTD). Its main objective is to present new </w:t>
      </w:r>
      <w:proofErr w:type="gramStart"/>
      <w:r w:rsidR="00070028" w:rsidRPr="00D008D2">
        <w:t>R&amp;I</w:t>
      </w:r>
      <w:proofErr w:type="gramEnd"/>
      <w:r w:rsidR="00070028" w:rsidRPr="00D008D2">
        <w:t xml:space="preserve"> </w:t>
      </w:r>
      <w:r w:rsidRPr="00D008D2">
        <w:t>solutions, innovative products and best practice in response to the numerous societal challenges facing local and regional authorities (LRAs) in Europe today.</w:t>
      </w:r>
    </w:p>
    <w:p w:rsidR="001A41A0" w:rsidRPr="00D008D2" w:rsidRDefault="001A41A0" w:rsidP="00C86D23">
      <w:pPr>
        <w:overflowPunct/>
        <w:adjustRightInd/>
        <w:contextualSpacing/>
        <w:textAlignment w:val="auto"/>
        <w:rPr>
          <w:u w:val="single"/>
        </w:rPr>
      </w:pPr>
    </w:p>
    <w:p w:rsidR="001A41A0" w:rsidRPr="00D008D2" w:rsidRDefault="00053950" w:rsidP="00BF5236">
      <w:pPr>
        <w:keepNext/>
        <w:overflowPunct/>
        <w:adjustRightInd/>
        <w:contextualSpacing/>
        <w:textAlignment w:val="auto"/>
        <w:rPr>
          <w:b/>
        </w:rPr>
      </w:pPr>
      <w:r w:rsidRPr="00D008D2">
        <w:rPr>
          <w:b/>
          <w:u w:val="single"/>
        </w:rPr>
        <w:t>Background</w:t>
      </w:r>
      <w:r w:rsidR="001A41A0" w:rsidRPr="00D008D2">
        <w:rPr>
          <w:b/>
        </w:rPr>
        <w:t xml:space="preserve"> </w:t>
      </w:r>
    </w:p>
    <w:p w:rsidR="001A41A0" w:rsidRPr="00D008D2" w:rsidRDefault="001A41A0" w:rsidP="00BF5236">
      <w:pPr>
        <w:keepNext/>
        <w:overflowPunct/>
        <w:adjustRightInd/>
        <w:contextualSpacing/>
        <w:textAlignment w:val="auto"/>
      </w:pPr>
    </w:p>
    <w:p w:rsidR="000E7EE3" w:rsidRPr="00D008D2" w:rsidRDefault="00053950">
      <w:pPr>
        <w:overflowPunct/>
        <w:adjustRightInd/>
        <w:contextualSpacing/>
        <w:textAlignment w:val="auto"/>
      </w:pPr>
      <w:r w:rsidRPr="00D008D2">
        <w:t xml:space="preserve">2016 was the first year with a full programme of KEP events </w:t>
      </w:r>
      <w:r w:rsidR="00744F69" w:rsidRPr="00D008D2">
        <w:t xml:space="preserve">based </w:t>
      </w:r>
      <w:r w:rsidRPr="00D008D2">
        <w:t xml:space="preserve">on two themes, </w:t>
      </w:r>
      <w:proofErr w:type="spellStart"/>
      <w:r w:rsidRPr="00D008D2">
        <w:t>Bioeconomy</w:t>
      </w:r>
      <w:proofErr w:type="spellEnd"/>
      <w:r w:rsidRPr="00D008D2">
        <w:t xml:space="preserve"> and Key Enabling Technologies. In total, </w:t>
      </w:r>
      <w:r w:rsidR="0051467B" w:rsidRPr="00D008D2">
        <w:rPr>
          <w:color w:val="000000" w:themeColor="text1"/>
        </w:rPr>
        <w:t>seven</w:t>
      </w:r>
      <w:r w:rsidR="00952376" w:rsidRPr="00D008D2">
        <w:rPr>
          <w:color w:val="000000" w:themeColor="text1"/>
        </w:rPr>
        <w:t xml:space="preserve"> </w:t>
      </w:r>
      <w:r w:rsidRPr="00D008D2">
        <w:t>events were held</w:t>
      </w:r>
      <w:r w:rsidR="00E17981" w:rsidRPr="00D008D2">
        <w:t xml:space="preserve"> (two </w:t>
      </w:r>
      <w:r w:rsidR="00744F69" w:rsidRPr="00D008D2">
        <w:t>t</w:t>
      </w:r>
      <w:r w:rsidR="00E17981" w:rsidRPr="00D008D2">
        <w:t xml:space="preserve">hematic </w:t>
      </w:r>
      <w:r w:rsidR="00744F69" w:rsidRPr="00D008D2">
        <w:t>s</w:t>
      </w:r>
      <w:r w:rsidR="00E17981" w:rsidRPr="00D008D2">
        <w:t xml:space="preserve">eminars, two </w:t>
      </w:r>
      <w:r w:rsidR="00744F69" w:rsidRPr="00D008D2">
        <w:t>p</w:t>
      </w:r>
      <w:r w:rsidR="00E17981" w:rsidRPr="00D008D2">
        <w:t>eer-to-</w:t>
      </w:r>
      <w:r w:rsidR="00744F69" w:rsidRPr="00D008D2">
        <w:t>p</w:t>
      </w:r>
      <w:r w:rsidR="00E17981" w:rsidRPr="00D008D2">
        <w:t xml:space="preserve">eer events and </w:t>
      </w:r>
      <w:r w:rsidR="0051467B" w:rsidRPr="00D008D2">
        <w:t>three</w:t>
      </w:r>
      <w:r w:rsidR="00E17981" w:rsidRPr="00D008D2">
        <w:t xml:space="preserve"> </w:t>
      </w:r>
      <w:r w:rsidR="00744F69" w:rsidRPr="00D008D2">
        <w:t>s</w:t>
      </w:r>
      <w:r w:rsidR="00E17981" w:rsidRPr="00D008D2">
        <w:t xml:space="preserve">howcasing </w:t>
      </w:r>
      <w:r w:rsidR="00744F69" w:rsidRPr="00D008D2">
        <w:t>e</w:t>
      </w:r>
      <w:r w:rsidR="00E17981" w:rsidRPr="00D008D2">
        <w:t>vents)</w:t>
      </w:r>
      <w:r w:rsidRPr="00D008D2">
        <w:t>.</w:t>
      </w:r>
      <w:r w:rsidR="00D114D0" w:rsidRPr="00D008D2">
        <w:t xml:space="preserve"> </w:t>
      </w:r>
      <w:r w:rsidR="000E7EE3" w:rsidRPr="00D008D2">
        <w:t>In 2017</w:t>
      </w:r>
      <w:r w:rsidR="009317AC" w:rsidRPr="00D008D2">
        <w:t>,</w:t>
      </w:r>
      <w:r w:rsidR="000E7EE3" w:rsidRPr="00D008D2">
        <w:t xml:space="preserve"> the KEP events were </w:t>
      </w:r>
      <w:r w:rsidR="00D114D0" w:rsidRPr="00D008D2">
        <w:t xml:space="preserve">organised </w:t>
      </w:r>
      <w:r w:rsidR="000E7EE3" w:rsidRPr="00D008D2">
        <w:t xml:space="preserve">on Energy and Public Sector Innovation. In total, </w:t>
      </w:r>
      <w:r w:rsidR="00EF2E12" w:rsidRPr="00D008D2">
        <w:t>four</w:t>
      </w:r>
      <w:r w:rsidR="000E7EE3" w:rsidRPr="00D008D2">
        <w:t xml:space="preserve"> events were held</w:t>
      </w:r>
      <w:r w:rsidR="00EF2E12" w:rsidRPr="00D008D2">
        <w:t xml:space="preserve"> (two </w:t>
      </w:r>
      <w:r w:rsidR="00744F69" w:rsidRPr="00D008D2">
        <w:t>t</w:t>
      </w:r>
      <w:r w:rsidR="00EF2E12" w:rsidRPr="00D008D2">
        <w:t xml:space="preserve">hematic </w:t>
      </w:r>
      <w:r w:rsidR="00744F69" w:rsidRPr="00D008D2">
        <w:t>s</w:t>
      </w:r>
      <w:r w:rsidR="00EF2E12" w:rsidRPr="00D008D2">
        <w:t xml:space="preserve">eminars and two </w:t>
      </w:r>
      <w:r w:rsidR="00744F69" w:rsidRPr="00D008D2">
        <w:t>p</w:t>
      </w:r>
      <w:r w:rsidR="00EF2E12" w:rsidRPr="00D008D2">
        <w:t>eer-to-</w:t>
      </w:r>
      <w:r w:rsidR="00744F69" w:rsidRPr="00D008D2">
        <w:t>p</w:t>
      </w:r>
      <w:r w:rsidR="00EF2E12" w:rsidRPr="00D008D2">
        <w:t xml:space="preserve">eer </w:t>
      </w:r>
      <w:r w:rsidR="00744F69" w:rsidRPr="00D008D2">
        <w:t>e</w:t>
      </w:r>
      <w:r w:rsidR="00EF2E12" w:rsidRPr="00D008D2">
        <w:t>vents).</w:t>
      </w:r>
    </w:p>
    <w:p w:rsidR="00053950" w:rsidRDefault="00053950">
      <w:pPr>
        <w:overflowPunct/>
        <w:adjustRightInd/>
        <w:contextualSpacing/>
        <w:textAlignment w:val="auto"/>
      </w:pPr>
    </w:p>
    <w:p w:rsidR="00BF5236" w:rsidRDefault="00BF5236" w:rsidP="00BF5236">
      <w:pPr>
        <w:rPr>
          <w:lang w:val="en-US"/>
        </w:rPr>
      </w:pPr>
      <w:r w:rsidRPr="00FE6E71">
        <w:rPr>
          <w:lang w:val="en-US"/>
        </w:rPr>
        <w:t xml:space="preserve">Four areas of cooperation have jointly been identified by DG RTD and the </w:t>
      </w:r>
      <w:proofErr w:type="spellStart"/>
      <w:r w:rsidRPr="00FE6E71">
        <w:rPr>
          <w:lang w:val="en-US"/>
        </w:rPr>
        <w:t>CoR</w:t>
      </w:r>
      <w:proofErr w:type="spellEnd"/>
      <w:r w:rsidRPr="00FE6E71">
        <w:rPr>
          <w:lang w:val="en-US"/>
        </w:rPr>
        <w:t xml:space="preserve"> for2018-2019:</w:t>
      </w:r>
    </w:p>
    <w:p w:rsidR="00893B09" w:rsidRPr="00FE6E71" w:rsidRDefault="00893B09" w:rsidP="00BF5236">
      <w:pPr>
        <w:rPr>
          <w:lang w:val="en-US"/>
        </w:rPr>
      </w:pPr>
    </w:p>
    <w:p w:rsidR="00BF5236" w:rsidRPr="00FE6E71" w:rsidRDefault="00BF5236" w:rsidP="00893B09">
      <w:pPr>
        <w:pStyle w:val="ListParagraph"/>
        <w:numPr>
          <w:ilvl w:val="0"/>
          <w:numId w:val="5"/>
        </w:numPr>
        <w:overflowPunct/>
        <w:autoSpaceDE/>
        <w:autoSpaceDN/>
        <w:adjustRightInd/>
        <w:spacing w:line="240" w:lineRule="auto"/>
        <w:ind w:left="426" w:hanging="426"/>
        <w:contextualSpacing w:val="0"/>
        <w:jc w:val="left"/>
        <w:textAlignment w:val="auto"/>
        <w:rPr>
          <w:lang w:val="en-US"/>
        </w:rPr>
      </w:pPr>
      <w:r w:rsidRPr="00FE6E71">
        <w:rPr>
          <w:lang w:val="en-US"/>
        </w:rPr>
        <w:t xml:space="preserve">Innovating cities with nature </w:t>
      </w:r>
      <w:r w:rsidR="00982A1A">
        <w:rPr>
          <w:lang w:val="en-US"/>
        </w:rPr>
        <w:t>and</w:t>
      </w:r>
      <w:r w:rsidRPr="00FE6E71">
        <w:rPr>
          <w:lang w:val="en-US"/>
        </w:rPr>
        <w:t xml:space="preserve"> Nature-based </w:t>
      </w:r>
      <w:r w:rsidR="00F820AE">
        <w:rPr>
          <w:lang w:val="en-US"/>
        </w:rPr>
        <w:t>S</w:t>
      </w:r>
      <w:r w:rsidRPr="00FE6E71">
        <w:rPr>
          <w:lang w:val="en-US"/>
        </w:rPr>
        <w:t xml:space="preserve">olutions; </w:t>
      </w:r>
    </w:p>
    <w:p w:rsidR="00BF5236" w:rsidRPr="00FE6E71" w:rsidRDefault="00BF5236" w:rsidP="00893B09">
      <w:pPr>
        <w:pStyle w:val="ListParagraph"/>
        <w:numPr>
          <w:ilvl w:val="0"/>
          <w:numId w:val="5"/>
        </w:numPr>
        <w:overflowPunct/>
        <w:autoSpaceDE/>
        <w:autoSpaceDN/>
        <w:adjustRightInd/>
        <w:spacing w:line="240" w:lineRule="auto"/>
        <w:ind w:left="426" w:hanging="426"/>
        <w:contextualSpacing w:val="0"/>
        <w:jc w:val="left"/>
        <w:textAlignment w:val="auto"/>
        <w:rPr>
          <w:lang w:val="en-US"/>
        </w:rPr>
      </w:pPr>
      <w:r w:rsidRPr="00FE6E71">
        <w:rPr>
          <w:lang w:val="en-US"/>
        </w:rPr>
        <w:t xml:space="preserve">Cultural </w:t>
      </w:r>
      <w:r w:rsidR="00DC4D18">
        <w:rPr>
          <w:lang w:val="en-US"/>
        </w:rPr>
        <w:t>H</w:t>
      </w:r>
      <w:r w:rsidRPr="00FE6E71">
        <w:rPr>
          <w:lang w:val="en-US"/>
        </w:rPr>
        <w:t xml:space="preserve">eritage; </w:t>
      </w:r>
    </w:p>
    <w:p w:rsidR="00BF5236" w:rsidRPr="00FE6E71" w:rsidRDefault="00BF5236" w:rsidP="00893B09">
      <w:pPr>
        <w:pStyle w:val="ListParagraph"/>
        <w:numPr>
          <w:ilvl w:val="0"/>
          <w:numId w:val="5"/>
        </w:numPr>
        <w:overflowPunct/>
        <w:autoSpaceDE/>
        <w:autoSpaceDN/>
        <w:adjustRightInd/>
        <w:spacing w:line="240" w:lineRule="auto"/>
        <w:ind w:left="426" w:hanging="426"/>
        <w:contextualSpacing w:val="0"/>
        <w:jc w:val="left"/>
        <w:textAlignment w:val="auto"/>
        <w:rPr>
          <w:lang w:val="en-US"/>
        </w:rPr>
      </w:pPr>
      <w:r w:rsidRPr="00FE6E71">
        <w:rPr>
          <w:lang w:val="en-US"/>
        </w:rPr>
        <w:t xml:space="preserve">Industry 4.0; </w:t>
      </w:r>
    </w:p>
    <w:p w:rsidR="00BF5236" w:rsidRPr="00FE6E71" w:rsidRDefault="00BF5236" w:rsidP="00893B09">
      <w:pPr>
        <w:pStyle w:val="ListParagraph"/>
        <w:numPr>
          <w:ilvl w:val="0"/>
          <w:numId w:val="5"/>
        </w:numPr>
        <w:overflowPunct/>
        <w:autoSpaceDE/>
        <w:autoSpaceDN/>
        <w:adjustRightInd/>
        <w:spacing w:line="240" w:lineRule="auto"/>
        <w:ind w:left="426" w:hanging="426"/>
        <w:contextualSpacing w:val="0"/>
        <w:jc w:val="left"/>
        <w:textAlignment w:val="auto"/>
        <w:rPr>
          <w:lang w:val="en-US"/>
        </w:rPr>
      </w:pPr>
      <w:r w:rsidRPr="00FE6E71">
        <w:rPr>
          <w:lang w:val="en-US"/>
        </w:rPr>
        <w:t>Social innovation.</w:t>
      </w:r>
    </w:p>
    <w:p w:rsidR="00BF5236" w:rsidRPr="00D008D2" w:rsidRDefault="00BF5236">
      <w:pPr>
        <w:overflowPunct/>
        <w:adjustRightInd/>
        <w:contextualSpacing/>
        <w:textAlignment w:val="auto"/>
      </w:pPr>
    </w:p>
    <w:p w:rsidR="00125580" w:rsidRPr="00D008D2" w:rsidRDefault="00053950">
      <w:pPr>
        <w:overflowPunct/>
        <w:adjustRightInd/>
        <w:contextualSpacing/>
        <w:textAlignment w:val="auto"/>
      </w:pPr>
      <w:r w:rsidRPr="00D008D2">
        <w:t>The themes agreed for 201</w:t>
      </w:r>
      <w:r w:rsidR="000E7EE3" w:rsidRPr="00D008D2">
        <w:t>8</w:t>
      </w:r>
      <w:r w:rsidRPr="00D008D2">
        <w:t xml:space="preserve"> are </w:t>
      </w:r>
      <w:r w:rsidR="00EF2E12" w:rsidRPr="00D008D2">
        <w:t xml:space="preserve">Innovating </w:t>
      </w:r>
      <w:r w:rsidR="00855F3F">
        <w:t>c</w:t>
      </w:r>
      <w:r w:rsidR="00EF2E12" w:rsidRPr="00D008D2">
        <w:t xml:space="preserve">ities </w:t>
      </w:r>
      <w:r w:rsidR="0094371C" w:rsidRPr="00D008D2">
        <w:t xml:space="preserve">with </w:t>
      </w:r>
      <w:r w:rsidR="00855F3F">
        <w:t>n</w:t>
      </w:r>
      <w:r w:rsidR="00EF2E12" w:rsidRPr="00D008D2">
        <w:t xml:space="preserve">ature </w:t>
      </w:r>
      <w:r w:rsidR="00744F69" w:rsidRPr="00D008D2">
        <w:t>and</w:t>
      </w:r>
      <w:r w:rsidR="00EF2E12" w:rsidRPr="00D008D2">
        <w:t xml:space="preserve"> Nature-based </w:t>
      </w:r>
      <w:r w:rsidR="0094371C" w:rsidRPr="00D008D2">
        <w:t>S</w:t>
      </w:r>
      <w:r w:rsidR="00EF2E12" w:rsidRPr="00D008D2">
        <w:t>olutions</w:t>
      </w:r>
      <w:r w:rsidR="00855F3F">
        <w:t>,</w:t>
      </w:r>
      <w:r w:rsidR="00EF2E12" w:rsidRPr="00D008D2">
        <w:t xml:space="preserve"> </w:t>
      </w:r>
      <w:r w:rsidRPr="00D008D2">
        <w:t>and</w:t>
      </w:r>
      <w:r w:rsidR="00EF2E12" w:rsidRPr="00D008D2">
        <w:t xml:space="preserve"> Cultural </w:t>
      </w:r>
      <w:r w:rsidR="0094371C" w:rsidRPr="00D008D2">
        <w:t>H</w:t>
      </w:r>
      <w:r w:rsidR="00EF2E12" w:rsidRPr="00D008D2">
        <w:t>eritage</w:t>
      </w:r>
      <w:r w:rsidRPr="00D008D2">
        <w:t>.</w:t>
      </w:r>
    </w:p>
    <w:p w:rsidR="00EF2E12" w:rsidRPr="00D008D2" w:rsidRDefault="00EF2E12">
      <w:pPr>
        <w:overflowPunct/>
        <w:adjustRightInd/>
        <w:contextualSpacing/>
        <w:textAlignment w:val="auto"/>
      </w:pPr>
    </w:p>
    <w:p w:rsidR="001A41A0" w:rsidRPr="00D008D2" w:rsidRDefault="00DA3CFC" w:rsidP="00BF5236">
      <w:pPr>
        <w:keepNext/>
        <w:overflowPunct/>
        <w:adjustRightInd/>
        <w:textAlignment w:val="auto"/>
        <w:rPr>
          <w:b/>
          <w:u w:val="single"/>
        </w:rPr>
      </w:pPr>
      <w:r w:rsidRPr="00D008D2">
        <w:rPr>
          <w:b/>
          <w:u w:val="single"/>
        </w:rPr>
        <w:t>KEP o</w:t>
      </w:r>
      <w:r w:rsidR="00537B31" w:rsidRPr="00D008D2">
        <w:rPr>
          <w:b/>
          <w:u w:val="single"/>
        </w:rPr>
        <w:t>bjectives</w:t>
      </w:r>
    </w:p>
    <w:p w:rsidR="001A41A0" w:rsidRPr="00D008D2" w:rsidRDefault="001A41A0" w:rsidP="00BF5236">
      <w:pPr>
        <w:keepNext/>
        <w:overflowPunct/>
        <w:adjustRightInd/>
        <w:textAlignment w:val="auto"/>
        <w:rPr>
          <w:b/>
        </w:rPr>
      </w:pPr>
    </w:p>
    <w:p w:rsidR="001A41A0" w:rsidRPr="00D008D2" w:rsidRDefault="001A41A0">
      <w:pPr>
        <w:overflowPunct/>
        <w:adjustRightInd/>
        <w:textAlignment w:val="auto"/>
      </w:pPr>
      <w:r w:rsidRPr="0037520F">
        <w:t xml:space="preserve">As agreed </w:t>
      </w:r>
      <w:r w:rsidR="006336C0" w:rsidRPr="0037520F">
        <w:t>in 2015</w:t>
      </w:r>
      <w:r w:rsidR="00DC4D18" w:rsidRPr="0037520F">
        <w:t xml:space="preserve"> </w:t>
      </w:r>
      <w:r w:rsidR="00DB5A1C" w:rsidRPr="0037520F">
        <w:t>by</w:t>
      </w:r>
      <w:r w:rsidR="006336C0" w:rsidRPr="0037520F">
        <w:t xml:space="preserve"> Mr</w:t>
      </w:r>
      <w:r w:rsidR="00CD02C3" w:rsidRPr="0037520F">
        <w:t xml:space="preserve"> </w:t>
      </w:r>
      <w:r w:rsidRPr="0037520F">
        <w:t>Moedas</w:t>
      </w:r>
      <w:r w:rsidR="006336C0" w:rsidRPr="0037520F">
        <w:t>, European Commissioner for Research, Science and Innovation,</w:t>
      </w:r>
      <w:r w:rsidRPr="0037520F">
        <w:t xml:space="preserve"> and </w:t>
      </w:r>
      <w:r w:rsidR="006336C0" w:rsidRPr="0037520F">
        <w:t xml:space="preserve">Mr </w:t>
      </w:r>
      <w:proofErr w:type="spellStart"/>
      <w:r w:rsidRPr="0037520F">
        <w:t>Markkula</w:t>
      </w:r>
      <w:proofErr w:type="spellEnd"/>
      <w:r w:rsidR="006336C0" w:rsidRPr="0037520F">
        <w:t xml:space="preserve">, then president of the </w:t>
      </w:r>
      <w:proofErr w:type="spellStart"/>
      <w:r w:rsidR="006336C0" w:rsidRPr="0037520F">
        <w:t>CoR</w:t>
      </w:r>
      <w:proofErr w:type="spellEnd"/>
      <w:r w:rsidRPr="0037520F">
        <w:t xml:space="preserve">, the </w:t>
      </w:r>
      <w:r w:rsidR="00053950" w:rsidRPr="0037520F">
        <w:t>KEP</w:t>
      </w:r>
      <w:r w:rsidRPr="0037520F">
        <w:t xml:space="preserve"> has the following objectives:</w:t>
      </w:r>
    </w:p>
    <w:p w:rsidR="001A41A0" w:rsidRPr="00D008D2" w:rsidRDefault="001A41A0">
      <w:pPr>
        <w:overflowPunct/>
        <w:adjustRightInd/>
        <w:textAlignment w:val="auto"/>
      </w:pPr>
    </w:p>
    <w:p w:rsidR="001A41A0" w:rsidRPr="00D008D2" w:rsidRDefault="006336C0" w:rsidP="00345B78">
      <w:pPr>
        <w:numPr>
          <w:ilvl w:val="0"/>
          <w:numId w:val="4"/>
        </w:numPr>
        <w:overflowPunct/>
        <w:adjustRightInd/>
        <w:ind w:left="426" w:hanging="426"/>
        <w:contextualSpacing/>
        <w:textAlignment w:val="auto"/>
      </w:pPr>
      <w:r>
        <w:t>g</w:t>
      </w:r>
      <w:r w:rsidR="00DA3CFC" w:rsidRPr="00D008D2">
        <w:t>reat</w:t>
      </w:r>
      <w:r w:rsidR="00CD02C3" w:rsidRPr="00D008D2">
        <w:t xml:space="preserve">er </w:t>
      </w:r>
      <w:r w:rsidR="001A41A0" w:rsidRPr="00D008D2">
        <w:t xml:space="preserve">cooperation between the </w:t>
      </w:r>
      <w:r w:rsidR="00CD02C3" w:rsidRPr="00D008D2">
        <w:t xml:space="preserve">departments </w:t>
      </w:r>
      <w:r w:rsidR="001A41A0" w:rsidRPr="00D008D2">
        <w:t xml:space="preserve">of DG RTD and the </w:t>
      </w:r>
      <w:proofErr w:type="spellStart"/>
      <w:r w:rsidR="001A41A0" w:rsidRPr="00D008D2">
        <w:t>CoR</w:t>
      </w:r>
      <w:proofErr w:type="spellEnd"/>
      <w:r w:rsidR="001A41A0" w:rsidRPr="00D008D2">
        <w:t>;</w:t>
      </w:r>
    </w:p>
    <w:p w:rsidR="001A41A0" w:rsidRPr="00D008D2" w:rsidRDefault="006336C0" w:rsidP="00345B78">
      <w:pPr>
        <w:numPr>
          <w:ilvl w:val="0"/>
          <w:numId w:val="4"/>
        </w:numPr>
        <w:overflowPunct/>
        <w:adjustRightInd/>
        <w:ind w:left="426" w:hanging="426"/>
        <w:contextualSpacing/>
        <w:textAlignment w:val="auto"/>
      </w:pPr>
      <w:r>
        <w:t>t</w:t>
      </w:r>
      <w:r w:rsidR="00CD02C3" w:rsidRPr="00D008D2">
        <w:t>urn</w:t>
      </w:r>
      <w:r w:rsidR="008012CF" w:rsidRPr="00D008D2">
        <w:t>ing</w:t>
      </w:r>
      <w:r w:rsidR="00CD02C3" w:rsidRPr="00D008D2">
        <w:t xml:space="preserve"> </w:t>
      </w:r>
      <w:r w:rsidR="001A41A0" w:rsidRPr="00D008D2">
        <w:t xml:space="preserve">new knowledge created through Horizon 2020 projects </w:t>
      </w:r>
      <w:r w:rsidR="00CD02C3" w:rsidRPr="00D008D2">
        <w:t xml:space="preserve">to good advantage </w:t>
      </w:r>
      <w:r w:rsidR="001A41A0" w:rsidRPr="00D008D2">
        <w:t>and increas</w:t>
      </w:r>
      <w:r w:rsidR="002A49F1" w:rsidRPr="00D008D2">
        <w:t>ing</w:t>
      </w:r>
      <w:r w:rsidR="001A41A0" w:rsidRPr="00D008D2">
        <w:t xml:space="preserve"> </w:t>
      </w:r>
      <w:r w:rsidR="00CD02C3" w:rsidRPr="00D008D2">
        <w:t xml:space="preserve">up-take </w:t>
      </w:r>
      <w:r w:rsidR="001A41A0" w:rsidRPr="00D008D2">
        <w:t xml:space="preserve">and </w:t>
      </w:r>
      <w:r w:rsidR="00CD02C3" w:rsidRPr="00D008D2">
        <w:t xml:space="preserve">its </w:t>
      </w:r>
      <w:r w:rsidR="001A41A0" w:rsidRPr="00D008D2">
        <w:t xml:space="preserve">impact on innovation at local and regional level; </w:t>
      </w:r>
    </w:p>
    <w:p w:rsidR="001A41A0" w:rsidRPr="00D008D2" w:rsidRDefault="006336C0" w:rsidP="00345B78">
      <w:pPr>
        <w:numPr>
          <w:ilvl w:val="0"/>
          <w:numId w:val="4"/>
        </w:numPr>
        <w:overflowPunct/>
        <w:adjustRightInd/>
        <w:ind w:left="426" w:hanging="426"/>
        <w:contextualSpacing/>
        <w:textAlignment w:val="auto"/>
      </w:pPr>
      <w:r>
        <w:lastRenderedPageBreak/>
        <w:t>m</w:t>
      </w:r>
      <w:r w:rsidR="008012CF" w:rsidRPr="00D008D2">
        <w:t xml:space="preserve">aximising </w:t>
      </w:r>
      <w:r w:rsidR="001A41A0" w:rsidRPr="00D008D2">
        <w:t>synergies between Horizon 2020 and implementation of the European Structural and Investment Funds at regional level;</w:t>
      </w:r>
    </w:p>
    <w:p w:rsidR="005215D3" w:rsidRPr="00D008D2" w:rsidRDefault="006336C0" w:rsidP="00345B78">
      <w:pPr>
        <w:numPr>
          <w:ilvl w:val="0"/>
          <w:numId w:val="4"/>
        </w:numPr>
        <w:overflowPunct/>
        <w:adjustRightInd/>
        <w:ind w:left="426" w:hanging="426"/>
        <w:contextualSpacing/>
        <w:textAlignment w:val="auto"/>
      </w:pPr>
      <w:proofErr w:type="gramStart"/>
      <w:r>
        <w:t>a</w:t>
      </w:r>
      <w:r w:rsidR="001A41A0" w:rsidRPr="00D008D2">
        <w:t>ssist</w:t>
      </w:r>
      <w:r w:rsidR="00DB5A1C">
        <w:t>ing</w:t>
      </w:r>
      <w:proofErr w:type="gramEnd"/>
      <w:r w:rsidR="00DB5A1C" w:rsidRPr="00D008D2">
        <w:t xml:space="preserve"> </w:t>
      </w:r>
      <w:proofErr w:type="spellStart"/>
      <w:r w:rsidR="001A41A0" w:rsidRPr="00D008D2">
        <w:t>CoR</w:t>
      </w:r>
      <w:proofErr w:type="spellEnd"/>
      <w:r w:rsidR="001A41A0" w:rsidRPr="00D008D2">
        <w:t xml:space="preserve"> members </w:t>
      </w:r>
      <w:r w:rsidR="008F2543">
        <w:t>in becoming</w:t>
      </w:r>
      <w:r w:rsidR="001A41A0" w:rsidRPr="00D008D2">
        <w:t xml:space="preserve"> active drivers </w:t>
      </w:r>
      <w:r w:rsidR="00CD02C3" w:rsidRPr="00D008D2">
        <w:t xml:space="preserve">for </w:t>
      </w:r>
      <w:r w:rsidR="001A41A0" w:rsidRPr="00D008D2">
        <w:t xml:space="preserve">change and innovation leaders in their multiple roles as political decision-makers, by showcasing the benefits of a modern </w:t>
      </w:r>
      <w:r w:rsidR="00CD02C3" w:rsidRPr="00D008D2">
        <w:t>triple</w:t>
      </w:r>
      <w:r w:rsidR="00744F69" w:rsidRPr="00D008D2">
        <w:noBreakHyphen/>
      </w:r>
      <w:r w:rsidR="00CD02C3" w:rsidRPr="00D008D2">
        <w:t xml:space="preserve">helix </w:t>
      </w:r>
      <w:r w:rsidR="001A41A0" w:rsidRPr="00D008D2">
        <w:t>approach (</w:t>
      </w:r>
      <w:r w:rsidR="00CD02C3" w:rsidRPr="00D008D2">
        <w:t xml:space="preserve">cooperation between </w:t>
      </w:r>
      <w:r w:rsidR="001A41A0" w:rsidRPr="00D008D2">
        <w:t>business, academia and government).</w:t>
      </w:r>
    </w:p>
    <w:p w:rsidR="00D114D0" w:rsidRPr="00D008D2" w:rsidRDefault="00D114D0">
      <w:pPr>
        <w:overflowPunct/>
        <w:adjustRightInd/>
        <w:textAlignment w:val="auto"/>
        <w:rPr>
          <w:b/>
        </w:rPr>
      </w:pPr>
    </w:p>
    <w:p w:rsidR="003E287E" w:rsidRPr="00D008D2" w:rsidRDefault="003E287E" w:rsidP="00BF5236">
      <w:pPr>
        <w:keepNext/>
        <w:overflowPunct/>
        <w:adjustRightInd/>
        <w:textAlignment w:val="auto"/>
        <w:rPr>
          <w:b/>
        </w:rPr>
      </w:pPr>
      <w:r w:rsidRPr="00D008D2">
        <w:rPr>
          <w:b/>
        </w:rPr>
        <w:t>KEP instruments</w:t>
      </w:r>
    </w:p>
    <w:p w:rsidR="003E287E" w:rsidRPr="00D008D2" w:rsidRDefault="003E287E" w:rsidP="00BF5236">
      <w:pPr>
        <w:keepNext/>
        <w:overflowPunct/>
        <w:adjustRightInd/>
        <w:textAlignment w:val="auto"/>
        <w:rPr>
          <w:b/>
        </w:rPr>
      </w:pPr>
    </w:p>
    <w:p w:rsidR="001A41A0" w:rsidRPr="00D008D2" w:rsidRDefault="001A41A0" w:rsidP="00BF5236">
      <w:pPr>
        <w:keepNext/>
        <w:overflowPunct/>
        <w:adjustRightInd/>
        <w:textAlignment w:val="auto"/>
        <w:rPr>
          <w:b/>
        </w:rPr>
      </w:pPr>
      <w:r w:rsidRPr="00D008D2">
        <w:rPr>
          <w:b/>
        </w:rPr>
        <w:t>These objectives will be met</w:t>
      </w:r>
      <w:r w:rsidR="005E343A" w:rsidRPr="00D008D2">
        <w:rPr>
          <w:b/>
        </w:rPr>
        <w:t>,</w:t>
      </w:r>
      <w:r w:rsidRPr="00D008D2">
        <w:rPr>
          <w:b/>
        </w:rPr>
        <w:t xml:space="preserve"> </w:t>
      </w:r>
      <w:r w:rsidR="006956AC" w:rsidRPr="00D008D2">
        <w:rPr>
          <w:b/>
          <w:i/>
        </w:rPr>
        <w:t>inter alia</w:t>
      </w:r>
      <w:r w:rsidR="005E343A" w:rsidRPr="00D008D2">
        <w:rPr>
          <w:b/>
        </w:rPr>
        <w:t>,</w:t>
      </w:r>
      <w:r w:rsidR="006956AC" w:rsidRPr="00D008D2">
        <w:rPr>
          <w:b/>
        </w:rPr>
        <w:t xml:space="preserve"> </w:t>
      </w:r>
      <w:r w:rsidRPr="00D008D2">
        <w:rPr>
          <w:b/>
        </w:rPr>
        <w:t xml:space="preserve">through the </w:t>
      </w:r>
      <w:r w:rsidR="00521619" w:rsidRPr="00D008D2">
        <w:rPr>
          <w:b/>
        </w:rPr>
        <w:t xml:space="preserve">three types of </w:t>
      </w:r>
      <w:r w:rsidRPr="00D008D2">
        <w:rPr>
          <w:b/>
        </w:rPr>
        <w:t>instruments</w:t>
      </w:r>
      <w:r w:rsidR="006956AC" w:rsidRPr="00D008D2">
        <w:rPr>
          <w:b/>
        </w:rPr>
        <w:t xml:space="preserve"> agreed upon</w:t>
      </w:r>
      <w:r w:rsidRPr="00D008D2">
        <w:rPr>
          <w:b/>
        </w:rPr>
        <w:t>:</w:t>
      </w:r>
    </w:p>
    <w:p w:rsidR="001A41A0" w:rsidRPr="00D008D2" w:rsidRDefault="001A41A0" w:rsidP="00BF5236">
      <w:pPr>
        <w:keepNext/>
        <w:overflowPunct/>
        <w:adjustRightInd/>
        <w:textAlignment w:val="auto"/>
      </w:pPr>
    </w:p>
    <w:p w:rsidR="001A41A0" w:rsidRPr="00D008D2" w:rsidRDefault="00053950" w:rsidP="00345B78">
      <w:pPr>
        <w:keepNext/>
        <w:keepLines/>
        <w:numPr>
          <w:ilvl w:val="0"/>
          <w:numId w:val="9"/>
        </w:numPr>
        <w:overflowPunct/>
        <w:adjustRightInd/>
        <w:ind w:left="426" w:hanging="426"/>
        <w:contextualSpacing/>
        <w:textAlignment w:val="auto"/>
      </w:pPr>
      <w:r w:rsidRPr="00D008D2">
        <w:rPr>
          <w:rFonts w:eastAsiaTheme="minorHAnsi"/>
          <w:b/>
        </w:rPr>
        <w:t xml:space="preserve">Thematic </w:t>
      </w:r>
      <w:r w:rsidR="00744F69" w:rsidRPr="00D008D2">
        <w:rPr>
          <w:rFonts w:eastAsiaTheme="minorHAnsi"/>
          <w:b/>
        </w:rPr>
        <w:t>s</w:t>
      </w:r>
      <w:r w:rsidR="001A41A0" w:rsidRPr="00D008D2">
        <w:rPr>
          <w:rFonts w:eastAsiaTheme="minorHAnsi"/>
          <w:b/>
        </w:rPr>
        <w:t>eminars</w:t>
      </w:r>
      <w:r w:rsidRPr="00D008D2">
        <w:rPr>
          <w:rFonts w:eastAsiaTheme="minorHAnsi"/>
          <w:b/>
        </w:rPr>
        <w:t xml:space="preserve"> (TS)</w:t>
      </w:r>
      <w:r w:rsidR="001A41A0" w:rsidRPr="00D008D2">
        <w:rPr>
          <w:rFonts w:eastAsiaTheme="minorHAnsi"/>
        </w:rPr>
        <w:t xml:space="preserve">, bringing together experts, stakeholders and </w:t>
      </w:r>
      <w:proofErr w:type="spellStart"/>
      <w:r w:rsidR="001A41A0" w:rsidRPr="00D008D2">
        <w:rPr>
          <w:rFonts w:eastAsiaTheme="minorHAnsi"/>
        </w:rPr>
        <w:t>CoR</w:t>
      </w:r>
      <w:proofErr w:type="spellEnd"/>
      <w:r w:rsidR="001A41A0" w:rsidRPr="00D008D2">
        <w:rPr>
          <w:rFonts w:eastAsiaTheme="minorHAnsi"/>
        </w:rPr>
        <w:t xml:space="preserve"> policy makers.</w:t>
      </w:r>
    </w:p>
    <w:p w:rsidR="00537B31" w:rsidRPr="00D008D2" w:rsidRDefault="00DB5A1C" w:rsidP="00345B78">
      <w:pPr>
        <w:overflowPunct/>
        <w:adjustRightInd/>
        <w:ind w:left="426" w:hanging="426"/>
        <w:contextualSpacing/>
        <w:textAlignment w:val="auto"/>
        <w:rPr>
          <w:color w:val="FF0000"/>
        </w:rPr>
      </w:pPr>
      <w:r>
        <w:tab/>
      </w:r>
      <w:r w:rsidR="00053950" w:rsidRPr="00D008D2">
        <w:rPr>
          <w:u w:val="single"/>
        </w:rPr>
        <w:t>H</w:t>
      </w:r>
      <w:r w:rsidR="00B052BA" w:rsidRPr="00D008D2">
        <w:rPr>
          <w:u w:val="single"/>
        </w:rPr>
        <w:t>eld in Brussels</w:t>
      </w:r>
      <w:r w:rsidR="00053950" w:rsidRPr="00D008D2">
        <w:t>, they</w:t>
      </w:r>
      <w:r w:rsidR="00B052BA" w:rsidRPr="00D008D2">
        <w:t xml:space="preserve"> allow</w:t>
      </w:r>
      <w:r w:rsidR="00537B31" w:rsidRPr="00D008D2">
        <w:t xml:space="preserve"> </w:t>
      </w:r>
      <w:proofErr w:type="spellStart"/>
      <w:r w:rsidR="001A41A0" w:rsidRPr="00D008D2">
        <w:t>CoR</w:t>
      </w:r>
      <w:proofErr w:type="spellEnd"/>
      <w:r w:rsidR="001A41A0" w:rsidRPr="00D008D2">
        <w:t xml:space="preserve"> members to </w:t>
      </w:r>
      <w:r w:rsidR="00236F83" w:rsidRPr="00D008D2">
        <w:t xml:space="preserve">have </w:t>
      </w:r>
      <w:r w:rsidR="00D5690E" w:rsidRPr="00D008D2">
        <w:t xml:space="preserve">a high level </w:t>
      </w:r>
      <w:r w:rsidR="00236F83" w:rsidRPr="00D008D2">
        <w:t xml:space="preserve">knowledge exchange </w:t>
      </w:r>
      <w:r w:rsidR="001A41A0" w:rsidRPr="00D008D2">
        <w:t>with experts from DG RTD and other DGs, as well as</w:t>
      </w:r>
      <w:r w:rsidR="000F5457" w:rsidRPr="00D008D2">
        <w:t xml:space="preserve"> with</w:t>
      </w:r>
      <w:r w:rsidR="001A41A0" w:rsidRPr="00D008D2">
        <w:t xml:space="preserve"> local and regional representatives and other stakeholders</w:t>
      </w:r>
      <w:r w:rsidR="000F5457" w:rsidRPr="00D008D2">
        <w:t>,</w:t>
      </w:r>
      <w:r w:rsidR="006956AC" w:rsidRPr="00D008D2">
        <w:t xml:space="preserve"> on</w:t>
      </w:r>
      <w:r w:rsidR="001A41A0" w:rsidRPr="00D008D2">
        <w:t xml:space="preserve"> the </w:t>
      </w:r>
      <w:r w:rsidR="006956AC" w:rsidRPr="00D008D2">
        <w:t xml:space="preserve">current </w:t>
      </w:r>
      <w:r w:rsidR="001A41A0" w:rsidRPr="00D008D2">
        <w:t xml:space="preserve">state of play and the outlook </w:t>
      </w:r>
      <w:r w:rsidR="006956AC" w:rsidRPr="00D008D2">
        <w:t>in the subject areas</w:t>
      </w:r>
      <w:r w:rsidR="00B052BA" w:rsidRPr="00D008D2">
        <w:t xml:space="preserve"> in question</w:t>
      </w:r>
      <w:r w:rsidR="001A41A0" w:rsidRPr="00D008D2">
        <w:t>.</w:t>
      </w:r>
      <w:r w:rsidR="00C322D0" w:rsidRPr="00D008D2">
        <w:t xml:space="preserve"> </w:t>
      </w:r>
      <w:proofErr w:type="gramStart"/>
      <w:r w:rsidR="00053950" w:rsidRPr="00D008D2">
        <w:rPr>
          <w:color w:val="000000" w:themeColor="text1"/>
        </w:rPr>
        <w:t>One</w:t>
      </w:r>
      <w:r w:rsidR="00A92218" w:rsidRPr="00D008D2">
        <w:rPr>
          <w:color w:val="000000" w:themeColor="text1"/>
        </w:rPr>
        <w:t xml:space="preserve"> </w:t>
      </w:r>
      <w:r w:rsidR="00053950" w:rsidRPr="00D008D2">
        <w:rPr>
          <w:color w:val="000000" w:themeColor="text1"/>
        </w:rPr>
        <w:t>TS</w:t>
      </w:r>
      <w:proofErr w:type="gramEnd"/>
      <w:r w:rsidR="00053950" w:rsidRPr="00D008D2">
        <w:rPr>
          <w:color w:val="000000" w:themeColor="text1"/>
        </w:rPr>
        <w:t xml:space="preserve"> will be held on each annual theme</w:t>
      </w:r>
      <w:r w:rsidR="00537B31" w:rsidRPr="00D008D2">
        <w:rPr>
          <w:color w:val="000000" w:themeColor="text1"/>
        </w:rPr>
        <w:t xml:space="preserve">. </w:t>
      </w:r>
    </w:p>
    <w:p w:rsidR="001A41A0" w:rsidRPr="00D008D2" w:rsidRDefault="001A41A0" w:rsidP="00345B78">
      <w:pPr>
        <w:overflowPunct/>
        <w:adjustRightInd/>
        <w:ind w:left="426" w:hanging="426"/>
        <w:textAlignment w:val="auto"/>
      </w:pPr>
    </w:p>
    <w:p w:rsidR="001A41A0" w:rsidRPr="00D008D2" w:rsidRDefault="00053950" w:rsidP="00345B78">
      <w:pPr>
        <w:numPr>
          <w:ilvl w:val="0"/>
          <w:numId w:val="9"/>
        </w:numPr>
        <w:overflowPunct/>
        <w:adjustRightInd/>
        <w:ind w:left="426" w:hanging="426"/>
        <w:contextualSpacing/>
        <w:textAlignment w:val="auto"/>
      </w:pPr>
      <w:r w:rsidRPr="00D008D2">
        <w:rPr>
          <w:rFonts w:eastAsiaTheme="minorHAnsi"/>
          <w:b/>
        </w:rPr>
        <w:t>Peer-to-</w:t>
      </w:r>
      <w:r w:rsidR="00744F69" w:rsidRPr="00D008D2">
        <w:rPr>
          <w:rFonts w:eastAsiaTheme="minorHAnsi"/>
          <w:b/>
        </w:rPr>
        <w:t>p</w:t>
      </w:r>
      <w:r w:rsidR="001A41A0" w:rsidRPr="00D008D2">
        <w:rPr>
          <w:rFonts w:eastAsiaTheme="minorHAnsi"/>
          <w:b/>
        </w:rPr>
        <w:t xml:space="preserve">eer </w:t>
      </w:r>
      <w:r w:rsidR="00744F69" w:rsidRPr="00D008D2">
        <w:rPr>
          <w:rFonts w:eastAsiaTheme="minorHAnsi"/>
          <w:b/>
        </w:rPr>
        <w:t>e</w:t>
      </w:r>
      <w:r w:rsidRPr="00D008D2">
        <w:rPr>
          <w:rFonts w:eastAsiaTheme="minorHAnsi"/>
          <w:b/>
        </w:rPr>
        <w:t>vents (P2P)</w:t>
      </w:r>
      <w:r w:rsidR="001A41A0" w:rsidRPr="00D008D2">
        <w:rPr>
          <w:rFonts w:eastAsiaTheme="minorHAnsi"/>
        </w:rPr>
        <w:t>, promoting mutual learni</w:t>
      </w:r>
      <w:r w:rsidR="00537B31" w:rsidRPr="00D008D2">
        <w:rPr>
          <w:rFonts w:eastAsiaTheme="minorHAnsi"/>
        </w:rPr>
        <w:t xml:space="preserve">ng </w:t>
      </w:r>
      <w:r w:rsidR="00537B31" w:rsidRPr="00D008D2">
        <w:rPr>
          <w:rFonts w:eastAsiaTheme="minorHAnsi"/>
          <w:u w:val="single"/>
        </w:rPr>
        <w:t>at local and regional level</w:t>
      </w:r>
      <w:r w:rsidR="00537B31" w:rsidRPr="00D008D2">
        <w:rPr>
          <w:rFonts w:eastAsiaTheme="minorHAnsi"/>
        </w:rPr>
        <w:t xml:space="preserve">. </w:t>
      </w:r>
      <w:r w:rsidR="001A41A0" w:rsidRPr="00D008D2">
        <w:rPr>
          <w:rFonts w:eastAsiaTheme="minorHAnsi"/>
        </w:rPr>
        <w:t xml:space="preserve">These </w:t>
      </w:r>
      <w:r w:rsidR="00A92218" w:rsidRPr="00D008D2">
        <w:rPr>
          <w:rFonts w:eastAsiaTheme="minorHAnsi"/>
        </w:rPr>
        <w:t xml:space="preserve">events </w:t>
      </w:r>
      <w:r w:rsidR="001A41A0" w:rsidRPr="00D008D2">
        <w:rPr>
          <w:rFonts w:eastAsiaTheme="minorHAnsi"/>
        </w:rPr>
        <w:t xml:space="preserve">take place at local/regional level </w:t>
      </w:r>
      <w:r w:rsidRPr="00D008D2">
        <w:rPr>
          <w:rFonts w:eastAsiaTheme="minorHAnsi"/>
          <w:color w:val="000000" w:themeColor="text1"/>
        </w:rPr>
        <w:t xml:space="preserve">at the invitation of a </w:t>
      </w:r>
      <w:proofErr w:type="spellStart"/>
      <w:r w:rsidRPr="00D008D2">
        <w:rPr>
          <w:rFonts w:eastAsiaTheme="minorHAnsi"/>
          <w:color w:val="000000" w:themeColor="text1"/>
        </w:rPr>
        <w:t>CoR</w:t>
      </w:r>
      <w:proofErr w:type="spellEnd"/>
      <w:r w:rsidRPr="00D008D2">
        <w:rPr>
          <w:rFonts w:eastAsiaTheme="minorHAnsi"/>
          <w:color w:val="000000" w:themeColor="text1"/>
        </w:rPr>
        <w:t xml:space="preserve"> member</w:t>
      </w:r>
      <w:r w:rsidR="003D0BA6" w:rsidRPr="00D008D2">
        <w:rPr>
          <w:rFonts w:eastAsiaTheme="minorHAnsi"/>
          <w:color w:val="000000" w:themeColor="text1"/>
        </w:rPr>
        <w:t xml:space="preserve"> as approved by </w:t>
      </w:r>
      <w:r w:rsidR="002A49F1" w:rsidRPr="00D008D2">
        <w:rPr>
          <w:rFonts w:eastAsiaTheme="minorHAnsi"/>
          <w:color w:val="000000" w:themeColor="text1"/>
        </w:rPr>
        <w:t xml:space="preserve">the </w:t>
      </w:r>
      <w:r w:rsidR="003D0BA6" w:rsidRPr="00D008D2">
        <w:rPr>
          <w:rFonts w:eastAsiaTheme="minorHAnsi"/>
          <w:color w:val="000000" w:themeColor="text1"/>
        </w:rPr>
        <w:t xml:space="preserve">SEDEC </w:t>
      </w:r>
      <w:r w:rsidR="002A49F1" w:rsidRPr="00D008D2">
        <w:rPr>
          <w:rFonts w:eastAsiaTheme="minorHAnsi"/>
          <w:color w:val="000000" w:themeColor="text1"/>
        </w:rPr>
        <w:t>c</w:t>
      </w:r>
      <w:r w:rsidR="003D0BA6" w:rsidRPr="00D008D2">
        <w:rPr>
          <w:rFonts w:eastAsiaTheme="minorHAnsi"/>
          <w:color w:val="000000" w:themeColor="text1"/>
        </w:rPr>
        <w:t>hair</w:t>
      </w:r>
      <w:r w:rsidRPr="00D008D2">
        <w:rPr>
          <w:rFonts w:eastAsiaTheme="minorHAnsi"/>
          <w:color w:val="000000" w:themeColor="text1"/>
        </w:rPr>
        <w:t xml:space="preserve"> </w:t>
      </w:r>
      <w:r w:rsidR="009831D3" w:rsidRPr="00D008D2">
        <w:rPr>
          <w:rFonts w:eastAsiaTheme="minorHAnsi"/>
        </w:rPr>
        <w:t>and follow</w:t>
      </w:r>
      <w:r w:rsidR="006956AC" w:rsidRPr="00D008D2">
        <w:rPr>
          <w:rFonts w:eastAsiaTheme="minorHAnsi"/>
        </w:rPr>
        <w:t xml:space="preserve"> </w:t>
      </w:r>
      <w:r w:rsidRPr="00D008D2">
        <w:rPr>
          <w:rFonts w:eastAsiaTheme="minorHAnsi"/>
        </w:rPr>
        <w:t xml:space="preserve">a </w:t>
      </w:r>
      <w:r w:rsidR="002C2D88" w:rsidRPr="00D008D2">
        <w:rPr>
          <w:rFonts w:eastAsiaTheme="minorHAnsi"/>
        </w:rPr>
        <w:t>t</w:t>
      </w:r>
      <w:r w:rsidR="002B45F8" w:rsidRPr="00D008D2">
        <w:rPr>
          <w:rFonts w:eastAsiaTheme="minorHAnsi"/>
        </w:rPr>
        <w:t>hematic</w:t>
      </w:r>
      <w:r w:rsidRPr="00D008D2">
        <w:rPr>
          <w:rFonts w:eastAsiaTheme="minorHAnsi"/>
        </w:rPr>
        <w:t xml:space="preserve"> </w:t>
      </w:r>
      <w:r w:rsidR="002C2D88" w:rsidRPr="00D008D2">
        <w:rPr>
          <w:rFonts w:eastAsiaTheme="minorHAnsi"/>
        </w:rPr>
        <w:t>s</w:t>
      </w:r>
      <w:r w:rsidR="009831D3" w:rsidRPr="00D008D2">
        <w:rPr>
          <w:rFonts w:eastAsiaTheme="minorHAnsi"/>
        </w:rPr>
        <w:t xml:space="preserve">eminar. </w:t>
      </w:r>
      <w:r w:rsidR="006956AC" w:rsidRPr="00D008D2">
        <w:rPr>
          <w:rFonts w:eastAsiaTheme="minorHAnsi"/>
        </w:rPr>
        <w:t xml:space="preserve">During </w:t>
      </w:r>
      <w:r w:rsidR="009831D3" w:rsidRPr="00D008D2">
        <w:rPr>
          <w:rFonts w:eastAsiaTheme="minorHAnsi"/>
        </w:rPr>
        <w:t>these meetings</w:t>
      </w:r>
      <w:r w:rsidR="006956AC" w:rsidRPr="00D008D2">
        <w:rPr>
          <w:rFonts w:eastAsiaTheme="minorHAnsi"/>
        </w:rPr>
        <w:t>,</w:t>
      </w:r>
      <w:r w:rsidR="001A41A0" w:rsidRPr="00D008D2">
        <w:rPr>
          <w:rFonts w:eastAsiaTheme="minorHAnsi"/>
        </w:rPr>
        <w:t xml:space="preserve"> </w:t>
      </w:r>
      <w:proofErr w:type="spellStart"/>
      <w:proofErr w:type="gramStart"/>
      <w:r w:rsidRPr="00D008D2">
        <w:rPr>
          <w:rFonts w:eastAsiaTheme="minorHAnsi"/>
          <w:color w:val="000000" w:themeColor="text1"/>
        </w:rPr>
        <w:t>CoR</w:t>
      </w:r>
      <w:proofErr w:type="spellEnd"/>
      <w:proofErr w:type="gramEnd"/>
      <w:r w:rsidR="009831D3" w:rsidRPr="00D008D2">
        <w:rPr>
          <w:rFonts w:eastAsiaTheme="minorHAnsi"/>
          <w:color w:val="000000" w:themeColor="text1"/>
        </w:rPr>
        <w:t xml:space="preserve"> </w:t>
      </w:r>
      <w:r w:rsidR="001A41A0" w:rsidRPr="00D008D2">
        <w:rPr>
          <w:rFonts w:eastAsiaTheme="minorHAnsi"/>
        </w:rPr>
        <w:t xml:space="preserve">members </w:t>
      </w:r>
      <w:r w:rsidR="009831D3" w:rsidRPr="00D008D2">
        <w:rPr>
          <w:rFonts w:eastAsiaTheme="minorHAnsi"/>
        </w:rPr>
        <w:t>have the opportunity to</w:t>
      </w:r>
      <w:r w:rsidR="001A41A0" w:rsidRPr="00D008D2">
        <w:rPr>
          <w:rFonts w:eastAsiaTheme="minorHAnsi"/>
        </w:rPr>
        <w:t xml:space="preserve"> exchange</w:t>
      </w:r>
      <w:r w:rsidR="006956AC" w:rsidRPr="00D008D2">
        <w:rPr>
          <w:rFonts w:eastAsiaTheme="minorHAnsi"/>
        </w:rPr>
        <w:t xml:space="preserve"> views</w:t>
      </w:r>
      <w:r w:rsidR="001A41A0" w:rsidRPr="00D008D2">
        <w:rPr>
          <w:rFonts w:eastAsiaTheme="minorHAnsi"/>
        </w:rPr>
        <w:t xml:space="preserve"> with DG RTD experts</w:t>
      </w:r>
      <w:r w:rsidR="00E17981" w:rsidRPr="00D008D2">
        <w:rPr>
          <w:rFonts w:eastAsiaTheme="minorHAnsi"/>
          <w:color w:val="000000" w:themeColor="text1"/>
        </w:rPr>
        <w:t xml:space="preserve">, representatives of on-going EU-funded research and innovation projects as well as other </w:t>
      </w:r>
      <w:r w:rsidR="001A41A0" w:rsidRPr="00D008D2">
        <w:rPr>
          <w:rFonts w:eastAsiaTheme="minorHAnsi"/>
        </w:rPr>
        <w:t xml:space="preserve">stakeholders </w:t>
      </w:r>
      <w:r w:rsidR="00B052BA" w:rsidRPr="00D008D2">
        <w:rPr>
          <w:rFonts w:eastAsiaTheme="minorHAnsi"/>
        </w:rPr>
        <w:t>locally</w:t>
      </w:r>
      <w:r w:rsidR="001A41A0" w:rsidRPr="00D008D2">
        <w:rPr>
          <w:rFonts w:eastAsiaTheme="minorHAnsi"/>
        </w:rPr>
        <w:t>. The</w:t>
      </w:r>
      <w:r w:rsidR="006956AC" w:rsidRPr="00D008D2">
        <w:rPr>
          <w:rFonts w:eastAsiaTheme="minorHAnsi"/>
        </w:rPr>
        <w:t>se</w:t>
      </w:r>
      <w:r w:rsidR="001A41A0" w:rsidRPr="00D008D2">
        <w:rPr>
          <w:rFonts w:eastAsiaTheme="minorHAnsi"/>
        </w:rPr>
        <w:t xml:space="preserve"> should lead to a direct exchange of good practice between</w:t>
      </w:r>
      <w:r w:rsidR="002B45F8" w:rsidRPr="00D008D2">
        <w:rPr>
          <w:rFonts w:eastAsiaTheme="minorHAnsi"/>
        </w:rPr>
        <w:t xml:space="preserve"> </w:t>
      </w:r>
      <w:r w:rsidRPr="00D008D2">
        <w:rPr>
          <w:rFonts w:eastAsiaTheme="minorHAnsi"/>
        </w:rPr>
        <w:t>participants</w:t>
      </w:r>
      <w:r w:rsidR="001A41A0" w:rsidRPr="00D008D2">
        <w:rPr>
          <w:rFonts w:eastAsiaTheme="minorHAnsi"/>
        </w:rPr>
        <w:t>.</w:t>
      </w:r>
    </w:p>
    <w:p w:rsidR="009831D3" w:rsidRPr="00D008D2" w:rsidRDefault="009831D3" w:rsidP="00345B78">
      <w:pPr>
        <w:overflowPunct/>
        <w:adjustRightInd/>
        <w:ind w:left="426" w:hanging="426"/>
        <w:textAlignment w:val="auto"/>
      </w:pPr>
    </w:p>
    <w:p w:rsidR="001A41A0" w:rsidRPr="00D008D2" w:rsidRDefault="00FE3766" w:rsidP="00345B78">
      <w:pPr>
        <w:numPr>
          <w:ilvl w:val="0"/>
          <w:numId w:val="9"/>
        </w:numPr>
        <w:overflowPunct/>
        <w:adjustRightInd/>
        <w:ind w:left="426" w:hanging="426"/>
        <w:contextualSpacing/>
        <w:textAlignment w:val="auto"/>
        <w:rPr>
          <w:color w:val="000000" w:themeColor="text1"/>
        </w:rPr>
      </w:pPr>
      <w:r w:rsidRPr="00D008D2">
        <w:rPr>
          <w:b/>
        </w:rPr>
        <w:t xml:space="preserve">Showcasing </w:t>
      </w:r>
      <w:r w:rsidR="00744F69" w:rsidRPr="00D008D2">
        <w:rPr>
          <w:b/>
        </w:rPr>
        <w:t>e</w:t>
      </w:r>
      <w:r w:rsidRPr="00D008D2">
        <w:rPr>
          <w:b/>
        </w:rPr>
        <w:t>vents</w:t>
      </w:r>
      <w:r w:rsidR="000F5457" w:rsidRPr="00D008D2">
        <w:rPr>
          <w:b/>
        </w:rPr>
        <w:t xml:space="preserve"> </w:t>
      </w:r>
      <w:r w:rsidR="006844EF" w:rsidRPr="00D008D2">
        <w:rPr>
          <w:b/>
        </w:rPr>
        <w:t xml:space="preserve">(SE) </w:t>
      </w:r>
      <w:r w:rsidR="000F5457" w:rsidRPr="00D008D2">
        <w:t>are</w:t>
      </w:r>
      <w:r w:rsidRPr="00D008D2">
        <w:rPr>
          <w:rFonts w:eastAsiaTheme="minorHAnsi"/>
        </w:rPr>
        <w:t xml:space="preserve"> events organ</w:t>
      </w:r>
      <w:r w:rsidR="00344F2B" w:rsidRPr="00D008D2">
        <w:rPr>
          <w:rFonts w:eastAsiaTheme="minorHAnsi"/>
        </w:rPr>
        <w:t>is</w:t>
      </w:r>
      <w:r w:rsidRPr="00D008D2">
        <w:rPr>
          <w:rFonts w:eastAsiaTheme="minorHAnsi"/>
        </w:rPr>
        <w:t xml:space="preserve">ed by </w:t>
      </w:r>
      <w:r w:rsidRPr="00D008D2">
        <w:rPr>
          <w:rFonts w:eastAsiaTheme="minorHAnsi"/>
          <w:color w:val="000000" w:themeColor="text1"/>
        </w:rPr>
        <w:t>other</w:t>
      </w:r>
      <w:r w:rsidR="003D0BA6" w:rsidRPr="00D008D2">
        <w:rPr>
          <w:rFonts w:eastAsiaTheme="minorHAnsi"/>
          <w:color w:val="000000" w:themeColor="text1"/>
        </w:rPr>
        <w:t xml:space="preserve"> </w:t>
      </w:r>
      <w:r w:rsidR="00DB5A1C">
        <w:rPr>
          <w:rFonts w:eastAsiaTheme="minorHAnsi"/>
          <w:color w:val="000000" w:themeColor="text1"/>
        </w:rPr>
        <w:t xml:space="preserve">parties </w:t>
      </w:r>
      <w:r w:rsidR="003D0BA6" w:rsidRPr="00D008D2">
        <w:rPr>
          <w:rFonts w:eastAsiaTheme="minorHAnsi"/>
          <w:color w:val="000000" w:themeColor="text1"/>
        </w:rPr>
        <w:t>(e.g. relevant partner organi</w:t>
      </w:r>
      <w:r w:rsidR="002A49F1" w:rsidRPr="00D008D2">
        <w:rPr>
          <w:rFonts w:eastAsiaTheme="minorHAnsi"/>
          <w:color w:val="000000" w:themeColor="text1"/>
        </w:rPr>
        <w:t>s</w:t>
      </w:r>
      <w:r w:rsidR="003D0BA6" w:rsidRPr="00D008D2">
        <w:rPr>
          <w:rFonts w:eastAsiaTheme="minorHAnsi"/>
          <w:color w:val="000000" w:themeColor="text1"/>
        </w:rPr>
        <w:t xml:space="preserve">ations, relevant </w:t>
      </w:r>
      <w:r w:rsidR="00A92218" w:rsidRPr="00D008D2">
        <w:rPr>
          <w:rFonts w:eastAsiaTheme="minorHAnsi"/>
          <w:color w:val="000000" w:themeColor="text1"/>
        </w:rPr>
        <w:t xml:space="preserve">Directorates </w:t>
      </w:r>
      <w:r w:rsidR="003D0BA6" w:rsidRPr="00D008D2">
        <w:rPr>
          <w:rFonts w:eastAsiaTheme="minorHAnsi"/>
          <w:color w:val="000000" w:themeColor="text1"/>
        </w:rPr>
        <w:t xml:space="preserve">of DG RTD) </w:t>
      </w:r>
      <w:r w:rsidR="000F5457" w:rsidRPr="00D008D2">
        <w:rPr>
          <w:rFonts w:eastAsiaTheme="minorHAnsi"/>
        </w:rPr>
        <w:t>but</w:t>
      </w:r>
      <w:r w:rsidR="00DB5A1C">
        <w:rPr>
          <w:rFonts w:eastAsiaTheme="minorHAnsi"/>
        </w:rPr>
        <w:t xml:space="preserve"> that</w:t>
      </w:r>
      <w:r w:rsidR="000F5457" w:rsidRPr="00D008D2">
        <w:rPr>
          <w:rFonts w:eastAsiaTheme="minorHAnsi"/>
        </w:rPr>
        <w:t xml:space="preserve"> contribut</w:t>
      </w:r>
      <w:r w:rsidR="00DB5A1C">
        <w:rPr>
          <w:rFonts w:eastAsiaTheme="minorHAnsi"/>
        </w:rPr>
        <w:t>e</w:t>
      </w:r>
      <w:r w:rsidR="000F5457" w:rsidRPr="00D008D2">
        <w:rPr>
          <w:rFonts w:eastAsiaTheme="minorHAnsi"/>
        </w:rPr>
        <w:t xml:space="preserve"> directly to the KEP annual</w:t>
      </w:r>
      <w:r w:rsidR="00210398" w:rsidRPr="00D008D2">
        <w:rPr>
          <w:rFonts w:eastAsiaTheme="minorHAnsi"/>
        </w:rPr>
        <w:t xml:space="preserve"> Action Plan</w:t>
      </w:r>
      <w:r w:rsidR="006844EF" w:rsidRPr="00D008D2">
        <w:rPr>
          <w:rFonts w:eastAsiaTheme="minorHAnsi"/>
        </w:rPr>
        <w:t xml:space="preserve">. </w:t>
      </w:r>
      <w:r w:rsidR="006844EF" w:rsidRPr="00D008D2">
        <w:rPr>
          <w:rFonts w:eastAsiaTheme="minorHAnsi"/>
          <w:color w:val="000000" w:themeColor="text1"/>
        </w:rPr>
        <w:t xml:space="preserve">In order to be labelled as SE, it is essential that </w:t>
      </w:r>
      <w:proofErr w:type="spellStart"/>
      <w:r w:rsidR="006844EF" w:rsidRPr="00D008D2">
        <w:rPr>
          <w:rFonts w:eastAsiaTheme="minorHAnsi"/>
          <w:color w:val="000000" w:themeColor="text1"/>
        </w:rPr>
        <w:t>CoR</w:t>
      </w:r>
      <w:proofErr w:type="spellEnd"/>
      <w:r w:rsidR="006844EF" w:rsidRPr="00D008D2">
        <w:rPr>
          <w:rFonts w:eastAsiaTheme="minorHAnsi"/>
          <w:color w:val="000000" w:themeColor="text1"/>
        </w:rPr>
        <w:t xml:space="preserve"> members participate in the event and </w:t>
      </w:r>
      <w:r w:rsidR="003D0BA6" w:rsidRPr="00D008D2">
        <w:rPr>
          <w:rFonts w:eastAsiaTheme="minorHAnsi"/>
          <w:color w:val="000000" w:themeColor="text1"/>
        </w:rPr>
        <w:t xml:space="preserve">that </w:t>
      </w:r>
      <w:r w:rsidR="00E17981" w:rsidRPr="00D008D2">
        <w:rPr>
          <w:rFonts w:eastAsiaTheme="minorHAnsi"/>
          <w:color w:val="000000" w:themeColor="text1"/>
        </w:rPr>
        <w:t>on</w:t>
      </w:r>
      <w:r w:rsidR="00744F69" w:rsidRPr="00D008D2">
        <w:rPr>
          <w:rFonts w:eastAsiaTheme="minorHAnsi"/>
          <w:color w:val="000000" w:themeColor="text1"/>
        </w:rPr>
        <w:noBreakHyphen/>
      </w:r>
      <w:r w:rsidR="00E17981" w:rsidRPr="00D008D2">
        <w:rPr>
          <w:rFonts w:eastAsiaTheme="minorHAnsi"/>
          <w:color w:val="000000" w:themeColor="text1"/>
        </w:rPr>
        <w:t xml:space="preserve">going </w:t>
      </w:r>
      <w:r w:rsidR="006844EF" w:rsidRPr="00D008D2">
        <w:rPr>
          <w:rFonts w:eastAsiaTheme="minorHAnsi"/>
          <w:color w:val="000000" w:themeColor="text1"/>
        </w:rPr>
        <w:t>EU-funded research</w:t>
      </w:r>
      <w:r w:rsidR="00E17981" w:rsidRPr="00D008D2">
        <w:rPr>
          <w:rFonts w:eastAsiaTheme="minorHAnsi"/>
          <w:color w:val="000000" w:themeColor="text1"/>
        </w:rPr>
        <w:t xml:space="preserve"> and innovation</w:t>
      </w:r>
      <w:r w:rsidR="006844EF" w:rsidRPr="00D008D2">
        <w:rPr>
          <w:rFonts w:eastAsiaTheme="minorHAnsi"/>
          <w:color w:val="000000" w:themeColor="text1"/>
        </w:rPr>
        <w:t xml:space="preserve"> projects </w:t>
      </w:r>
      <w:r w:rsidR="003D0BA6" w:rsidRPr="00D008D2">
        <w:rPr>
          <w:rFonts w:eastAsiaTheme="minorHAnsi"/>
          <w:color w:val="000000" w:themeColor="text1"/>
        </w:rPr>
        <w:t xml:space="preserve">on a KEP theme </w:t>
      </w:r>
      <w:r w:rsidR="006844EF" w:rsidRPr="00D008D2">
        <w:rPr>
          <w:rFonts w:eastAsiaTheme="minorHAnsi"/>
          <w:color w:val="000000" w:themeColor="text1"/>
        </w:rPr>
        <w:t>are showcased.</w:t>
      </w:r>
      <w:r w:rsidR="005C5564" w:rsidRPr="00D008D2">
        <w:rPr>
          <w:rFonts w:eastAsiaTheme="minorHAnsi"/>
          <w:color w:val="000000" w:themeColor="text1"/>
        </w:rPr>
        <w:t xml:space="preserve"> </w:t>
      </w:r>
      <w:r w:rsidR="006844EF" w:rsidRPr="00D008D2">
        <w:rPr>
          <w:rFonts w:eastAsiaTheme="minorHAnsi"/>
          <w:color w:val="000000" w:themeColor="text1"/>
        </w:rPr>
        <w:t>The SEs may b</w:t>
      </w:r>
      <w:r w:rsidR="003D0BA6" w:rsidRPr="00D008D2">
        <w:rPr>
          <w:rFonts w:eastAsiaTheme="minorHAnsi"/>
          <w:color w:val="000000" w:themeColor="text1"/>
        </w:rPr>
        <w:t>e held in Brussels or elsewhere, subject to mutual agreement.</w:t>
      </w:r>
    </w:p>
    <w:p w:rsidR="001A41A0" w:rsidRPr="00D008D2" w:rsidRDefault="001A41A0">
      <w:pPr>
        <w:overflowPunct/>
        <w:adjustRightInd/>
        <w:textAlignment w:val="auto"/>
      </w:pPr>
    </w:p>
    <w:p w:rsidR="00520A7B" w:rsidRPr="00D008D2" w:rsidRDefault="00520A7B">
      <w:pPr>
        <w:overflowPunct/>
        <w:adjustRightInd/>
        <w:contextualSpacing/>
        <w:textAlignment w:val="auto"/>
      </w:pPr>
      <w:r w:rsidRPr="00D008D2">
        <w:t>For organisational and implementation purposes</w:t>
      </w:r>
      <w:r w:rsidRPr="00DB5A1C">
        <w:t>,</w:t>
      </w:r>
      <w:r w:rsidR="00521619" w:rsidRPr="00D008D2">
        <w:rPr>
          <w:b/>
        </w:rPr>
        <w:t xml:space="preserve"> the designated lead services (DG RTD Unit B5 and the</w:t>
      </w:r>
      <w:r w:rsidR="00E17981" w:rsidRPr="00D008D2">
        <w:rPr>
          <w:b/>
        </w:rPr>
        <w:t xml:space="preserve"> </w:t>
      </w:r>
      <w:proofErr w:type="spellStart"/>
      <w:r w:rsidR="00E17981" w:rsidRPr="00D008D2">
        <w:rPr>
          <w:b/>
        </w:rPr>
        <w:t>CoR</w:t>
      </w:r>
      <w:proofErr w:type="spellEnd"/>
      <w:r w:rsidR="00521619" w:rsidRPr="00D008D2">
        <w:rPr>
          <w:b/>
        </w:rPr>
        <w:t xml:space="preserve"> SEDEC </w:t>
      </w:r>
      <w:r w:rsidR="00744F69" w:rsidRPr="00D008D2">
        <w:rPr>
          <w:b/>
        </w:rPr>
        <w:t>s</w:t>
      </w:r>
      <w:r w:rsidR="00521619" w:rsidRPr="00D008D2">
        <w:rPr>
          <w:b/>
        </w:rPr>
        <w:t>ecretariat) form the</w:t>
      </w:r>
      <w:r w:rsidRPr="00D008D2">
        <w:rPr>
          <w:b/>
        </w:rPr>
        <w:t xml:space="preserve"> contact group </w:t>
      </w:r>
      <w:r w:rsidRPr="00D008D2">
        <w:t xml:space="preserve">between DG RTD and the </w:t>
      </w:r>
      <w:proofErr w:type="spellStart"/>
      <w:r w:rsidRPr="00D008D2">
        <w:t>CoR</w:t>
      </w:r>
      <w:proofErr w:type="spellEnd"/>
      <w:r w:rsidR="00521619" w:rsidRPr="00D008D2">
        <w:t xml:space="preserve">, calling on the expertise and participation of the other </w:t>
      </w:r>
      <w:r w:rsidR="00A92218" w:rsidRPr="00D008D2">
        <w:t xml:space="preserve">stakeholders </w:t>
      </w:r>
      <w:r w:rsidR="00521619" w:rsidRPr="00D008D2">
        <w:t>as required</w:t>
      </w:r>
      <w:r w:rsidR="008E1560" w:rsidRPr="00D008D2">
        <w:t>.</w:t>
      </w:r>
      <w:r w:rsidRPr="00D008D2">
        <w:t xml:space="preserve"> This contact group will meet regularly to plan joint action and monitor implementation of the above-mentioned instruments.</w:t>
      </w:r>
    </w:p>
    <w:p w:rsidR="00A55177" w:rsidRPr="00D008D2" w:rsidRDefault="00A55177">
      <w:pPr>
        <w:overflowPunct/>
        <w:adjustRightInd/>
        <w:textAlignment w:val="auto"/>
        <w:rPr>
          <w:b/>
          <w:u w:val="single"/>
        </w:rPr>
      </w:pPr>
    </w:p>
    <w:p w:rsidR="00A55177" w:rsidRPr="00D008D2" w:rsidRDefault="00786E4A" w:rsidP="00BF5236">
      <w:pPr>
        <w:keepNext/>
        <w:overflowPunct/>
        <w:adjustRightInd/>
        <w:textAlignment w:val="auto"/>
        <w:rPr>
          <w:b/>
          <w:u w:val="single"/>
        </w:rPr>
      </w:pPr>
      <w:r w:rsidRPr="00D008D2">
        <w:rPr>
          <w:b/>
          <w:u w:val="single"/>
        </w:rPr>
        <w:t>KEP actions in 2018</w:t>
      </w:r>
    </w:p>
    <w:p w:rsidR="00744F69" w:rsidRPr="00D008D2" w:rsidRDefault="00744F69" w:rsidP="00BF5236">
      <w:pPr>
        <w:keepNext/>
        <w:overflowPunct/>
        <w:adjustRightInd/>
        <w:contextualSpacing/>
        <w:textAlignment w:val="auto"/>
      </w:pPr>
    </w:p>
    <w:p w:rsidR="00A55177" w:rsidRPr="00D008D2" w:rsidRDefault="00A55177">
      <w:pPr>
        <w:overflowPunct/>
        <w:adjustRightInd/>
        <w:contextualSpacing/>
        <w:textAlignment w:val="auto"/>
      </w:pPr>
      <w:r w:rsidRPr="00D008D2">
        <w:t>KEP act</w:t>
      </w:r>
      <w:r w:rsidR="008A4604" w:rsidRPr="00D008D2">
        <w:t>ions will be implemented in 2018</w:t>
      </w:r>
      <w:r w:rsidRPr="00D008D2">
        <w:t xml:space="preserve"> in the thematic research and innovation areas of </w:t>
      </w:r>
      <w:r w:rsidR="008A4604" w:rsidRPr="00D008D2">
        <w:rPr>
          <w:b/>
        </w:rPr>
        <w:t xml:space="preserve">Innovating </w:t>
      </w:r>
      <w:r w:rsidR="008F2543">
        <w:rPr>
          <w:b/>
        </w:rPr>
        <w:t>c</w:t>
      </w:r>
      <w:r w:rsidR="008A4604" w:rsidRPr="00D008D2">
        <w:rPr>
          <w:b/>
        </w:rPr>
        <w:t xml:space="preserve">ities </w:t>
      </w:r>
      <w:r w:rsidR="0094371C" w:rsidRPr="00D008D2">
        <w:rPr>
          <w:b/>
        </w:rPr>
        <w:t xml:space="preserve">with </w:t>
      </w:r>
      <w:r w:rsidR="008F2543">
        <w:rPr>
          <w:b/>
        </w:rPr>
        <w:t>n</w:t>
      </w:r>
      <w:r w:rsidR="008A4604" w:rsidRPr="00D008D2">
        <w:rPr>
          <w:b/>
        </w:rPr>
        <w:t xml:space="preserve">ature </w:t>
      </w:r>
      <w:r w:rsidR="00744F69" w:rsidRPr="00D008D2">
        <w:rPr>
          <w:b/>
        </w:rPr>
        <w:t>and</w:t>
      </w:r>
      <w:r w:rsidR="008A4604" w:rsidRPr="00D008D2">
        <w:rPr>
          <w:b/>
        </w:rPr>
        <w:t xml:space="preserve"> Nature-based </w:t>
      </w:r>
      <w:r w:rsidR="0094371C" w:rsidRPr="00D008D2">
        <w:rPr>
          <w:b/>
        </w:rPr>
        <w:t>S</w:t>
      </w:r>
      <w:r w:rsidR="008A4604" w:rsidRPr="00D008D2">
        <w:rPr>
          <w:b/>
        </w:rPr>
        <w:t>olutions</w:t>
      </w:r>
      <w:r w:rsidR="008A4604" w:rsidRPr="00D008D2">
        <w:t xml:space="preserve"> </w:t>
      </w:r>
      <w:r w:rsidRPr="00D008D2">
        <w:t xml:space="preserve">and </w:t>
      </w:r>
      <w:r w:rsidR="008A4604" w:rsidRPr="00D008D2">
        <w:rPr>
          <w:b/>
        </w:rPr>
        <w:t xml:space="preserve">Cultural </w:t>
      </w:r>
      <w:r w:rsidR="0094371C" w:rsidRPr="00D008D2">
        <w:rPr>
          <w:b/>
        </w:rPr>
        <w:t>H</w:t>
      </w:r>
      <w:r w:rsidR="008A4604" w:rsidRPr="00D008D2">
        <w:rPr>
          <w:b/>
        </w:rPr>
        <w:t>eritage</w:t>
      </w:r>
      <w:r w:rsidR="00DB5A1C" w:rsidRPr="00DB5A1C">
        <w:t>,</w:t>
      </w:r>
      <w:r w:rsidR="008A4604" w:rsidRPr="00D008D2">
        <w:t xml:space="preserve"> </w:t>
      </w:r>
      <w:r w:rsidRPr="00D008D2">
        <w:t>as described</w:t>
      </w:r>
      <w:r w:rsidR="00744F69" w:rsidRPr="00D008D2">
        <w:t xml:space="preserve"> below</w:t>
      </w:r>
      <w:r w:rsidRPr="00D008D2">
        <w:t>.</w:t>
      </w:r>
    </w:p>
    <w:p w:rsidR="002A49F1" w:rsidRPr="00D008D2" w:rsidRDefault="002A49F1">
      <w:pPr>
        <w:overflowPunct/>
        <w:textAlignment w:val="auto"/>
        <w:rPr>
          <w:rFonts w:eastAsia="Calibri"/>
        </w:rPr>
      </w:pPr>
    </w:p>
    <w:p w:rsidR="00A55177" w:rsidRPr="00D008D2" w:rsidRDefault="00A55177" w:rsidP="00BF5236">
      <w:pPr>
        <w:keepNext/>
        <w:overflowPunct/>
        <w:adjustRightInd/>
        <w:contextualSpacing/>
        <w:textAlignment w:val="auto"/>
        <w:rPr>
          <w:b/>
        </w:rPr>
      </w:pPr>
      <w:r w:rsidRPr="00D008D2">
        <w:rPr>
          <w:b/>
        </w:rPr>
        <w:t xml:space="preserve">KEP activities in the field of </w:t>
      </w:r>
      <w:r w:rsidR="00F14EF4" w:rsidRPr="00D008D2">
        <w:rPr>
          <w:b/>
        </w:rPr>
        <w:t xml:space="preserve">Innovating </w:t>
      </w:r>
      <w:r w:rsidR="008F2543">
        <w:rPr>
          <w:b/>
        </w:rPr>
        <w:t>c</w:t>
      </w:r>
      <w:r w:rsidR="00F14EF4" w:rsidRPr="00D008D2">
        <w:rPr>
          <w:b/>
        </w:rPr>
        <w:t xml:space="preserve">ities </w:t>
      </w:r>
      <w:r w:rsidR="0094371C" w:rsidRPr="00D008D2">
        <w:rPr>
          <w:b/>
        </w:rPr>
        <w:t xml:space="preserve">with </w:t>
      </w:r>
      <w:r w:rsidR="008F2543">
        <w:rPr>
          <w:b/>
        </w:rPr>
        <w:t>n</w:t>
      </w:r>
      <w:r w:rsidR="00F14EF4" w:rsidRPr="00D008D2">
        <w:rPr>
          <w:b/>
        </w:rPr>
        <w:t xml:space="preserve">ature </w:t>
      </w:r>
      <w:r w:rsidR="00700998">
        <w:rPr>
          <w:b/>
        </w:rPr>
        <w:t>and</w:t>
      </w:r>
      <w:r w:rsidR="00F14EF4" w:rsidRPr="00D008D2">
        <w:rPr>
          <w:b/>
        </w:rPr>
        <w:t xml:space="preserve"> Nature-based </w:t>
      </w:r>
      <w:r w:rsidR="00F820AE">
        <w:rPr>
          <w:b/>
        </w:rPr>
        <w:t>S</w:t>
      </w:r>
      <w:r w:rsidR="00F14EF4" w:rsidRPr="00D008D2">
        <w:rPr>
          <w:b/>
        </w:rPr>
        <w:t>olutions</w:t>
      </w:r>
    </w:p>
    <w:p w:rsidR="00A55177" w:rsidRPr="00D008D2" w:rsidRDefault="00A55177" w:rsidP="00BF5236">
      <w:pPr>
        <w:keepNext/>
        <w:overflowPunct/>
        <w:adjustRightInd/>
        <w:contextualSpacing/>
        <w:textAlignment w:val="auto"/>
        <w:rPr>
          <w:b/>
        </w:rPr>
      </w:pPr>
    </w:p>
    <w:p w:rsidR="005A58F9" w:rsidRPr="00D008D2" w:rsidRDefault="00223821">
      <w:pPr>
        <w:overflowPunct/>
        <w:adjustRightInd/>
        <w:contextualSpacing/>
        <w:textAlignment w:val="auto"/>
      </w:pPr>
      <w:r w:rsidRPr="00D008D2">
        <w:t xml:space="preserve">In </w:t>
      </w:r>
      <w:r w:rsidR="00D114D0" w:rsidRPr="00D008D2">
        <w:t xml:space="preserve">the </w:t>
      </w:r>
      <w:r w:rsidRPr="00D008D2">
        <w:t>Action Plan for Nature, people and the economy (2017)</w:t>
      </w:r>
      <w:r w:rsidR="00D114D0" w:rsidRPr="00D008D2">
        <w:rPr>
          <w:rStyle w:val="FootnoteReference"/>
        </w:rPr>
        <w:footnoteReference w:id="2"/>
      </w:r>
      <w:r w:rsidRPr="00D008D2">
        <w:t>, Action 12 b</w:t>
      </w:r>
      <w:r w:rsidR="00D114D0" w:rsidRPr="00D008D2">
        <w:t xml:space="preserve"> foresees</w:t>
      </w:r>
      <w:r w:rsidR="005506CD" w:rsidRPr="00D008D2">
        <w:t xml:space="preserve"> cooperation between the Commission and the Committee of the Regions</w:t>
      </w:r>
      <w:r w:rsidR="00D114D0" w:rsidRPr="00D008D2">
        <w:t xml:space="preserve"> on the theme of</w:t>
      </w:r>
      <w:r w:rsidR="005506CD" w:rsidRPr="00D008D2">
        <w:t xml:space="preserve"> nature-based solutions to </w:t>
      </w:r>
      <w:r w:rsidR="005506CD" w:rsidRPr="00D008D2">
        <w:lastRenderedPageBreak/>
        <w:t>share knowledge</w:t>
      </w:r>
      <w:r w:rsidR="00D114D0" w:rsidRPr="00D008D2">
        <w:t xml:space="preserve"> on the topic</w:t>
      </w:r>
      <w:r w:rsidR="005506CD" w:rsidRPr="00D008D2">
        <w:t xml:space="preserve"> in response to societal challenges faced by local and regional authorities in Europe.</w:t>
      </w:r>
      <w:r w:rsidR="00D114D0" w:rsidRPr="00D008D2">
        <w:t xml:space="preserve"> </w:t>
      </w:r>
      <w:r w:rsidR="00DB5A1C">
        <w:t>This action</w:t>
      </w:r>
      <w:r w:rsidR="00137E1F" w:rsidRPr="00D008D2">
        <w:t xml:space="preserve"> </w:t>
      </w:r>
      <w:r w:rsidR="00D114D0" w:rsidRPr="00D008D2">
        <w:t xml:space="preserve">should </w:t>
      </w:r>
      <w:r w:rsidR="00137E1F" w:rsidRPr="00D008D2">
        <w:t>support the implementation of the Nature Directives</w:t>
      </w:r>
      <w:r w:rsidR="004E033C" w:rsidRPr="00D008D2">
        <w:rPr>
          <w:rStyle w:val="FootnoteReference"/>
        </w:rPr>
        <w:footnoteReference w:id="3"/>
      </w:r>
      <w:r w:rsidR="00137E1F" w:rsidRPr="00D008D2">
        <w:t xml:space="preserve">, through communication, mutual learning, </w:t>
      </w:r>
      <w:proofErr w:type="gramStart"/>
      <w:r w:rsidR="00137E1F" w:rsidRPr="00D008D2">
        <w:t>exchange</w:t>
      </w:r>
      <w:proofErr w:type="gramEnd"/>
      <w:r w:rsidR="00137E1F" w:rsidRPr="00D008D2">
        <w:t xml:space="preserve"> of experiences between local and regional authorities on species targeted by the Birds and Habitats Directives, </w:t>
      </w:r>
      <w:r w:rsidR="00DB5A1C">
        <w:t>and</w:t>
      </w:r>
      <w:r w:rsidR="00DB5A1C" w:rsidRPr="00D008D2">
        <w:t xml:space="preserve"> </w:t>
      </w:r>
      <w:r w:rsidR="00137E1F" w:rsidRPr="00D008D2">
        <w:t xml:space="preserve">the corresponding Natura 2000 network. Nature-based solutions can, in urban and rural areas, contribute </w:t>
      </w:r>
      <w:r w:rsidRPr="00D008D2">
        <w:t xml:space="preserve">to the implementation of the Nature Directives </w:t>
      </w:r>
      <w:r w:rsidR="00137E1F" w:rsidRPr="00D008D2">
        <w:t>through creation and restoration of habitats, co-design and citizen science for monitoring</w:t>
      </w:r>
      <w:r w:rsidR="004E033C" w:rsidRPr="00D008D2">
        <w:t>.</w:t>
      </w:r>
      <w:r w:rsidR="00457088" w:rsidRPr="00D008D2">
        <w:t xml:space="preserve"> Therefore, for the preparation of the events</w:t>
      </w:r>
      <w:r w:rsidR="00DB5A1C" w:rsidRPr="00DB5A1C">
        <w:t xml:space="preserve"> </w:t>
      </w:r>
      <w:r w:rsidR="00DB5A1C">
        <w:t xml:space="preserve">listed </w:t>
      </w:r>
      <w:r w:rsidR="00DB5A1C" w:rsidRPr="00D008D2">
        <w:t>below</w:t>
      </w:r>
      <w:r w:rsidR="00457088" w:rsidRPr="00D008D2">
        <w:t xml:space="preserve">, </w:t>
      </w:r>
      <w:r w:rsidR="00D114D0" w:rsidRPr="00D008D2">
        <w:t xml:space="preserve">DG </w:t>
      </w:r>
      <w:r w:rsidR="00457088" w:rsidRPr="00D008D2">
        <w:t xml:space="preserve">RTD will provide </w:t>
      </w:r>
      <w:r w:rsidR="00D114D0" w:rsidRPr="00D008D2">
        <w:t>knowledge and expertise</w:t>
      </w:r>
      <w:r w:rsidR="0093297D" w:rsidRPr="00D008D2">
        <w:t xml:space="preserve"> on</w:t>
      </w:r>
      <w:r w:rsidR="00457088" w:rsidRPr="00D008D2">
        <w:t xml:space="preserve"> habitats, species </w:t>
      </w:r>
      <w:r w:rsidR="00DB5A1C">
        <w:t>and</w:t>
      </w:r>
      <w:r w:rsidR="00DB5A1C" w:rsidRPr="00D008D2">
        <w:t xml:space="preserve"> </w:t>
      </w:r>
      <w:r w:rsidR="00457088" w:rsidRPr="00D008D2">
        <w:t xml:space="preserve">Natura 2000 areas covered by </w:t>
      </w:r>
      <w:r w:rsidR="00D114D0" w:rsidRPr="00D008D2">
        <w:t xml:space="preserve">on-going </w:t>
      </w:r>
      <w:r w:rsidR="0093297D" w:rsidRPr="00D008D2">
        <w:t xml:space="preserve">research projects </w:t>
      </w:r>
      <w:r w:rsidR="00DB5A1C">
        <w:t>and</w:t>
      </w:r>
      <w:r w:rsidR="00DB5A1C" w:rsidRPr="00D008D2">
        <w:t xml:space="preserve"> </w:t>
      </w:r>
      <w:r w:rsidR="0093297D" w:rsidRPr="00D008D2">
        <w:t>nature-based solution</w:t>
      </w:r>
      <w:r w:rsidR="00D114D0" w:rsidRPr="00D008D2">
        <w:t>s</w:t>
      </w:r>
      <w:r w:rsidR="0093297D" w:rsidRPr="00D008D2">
        <w:t xml:space="preserve">. </w:t>
      </w:r>
    </w:p>
    <w:p w:rsidR="0091464C" w:rsidRPr="00D008D2" w:rsidRDefault="0091464C">
      <w:pPr>
        <w:overflowPunct/>
        <w:adjustRightInd/>
        <w:contextualSpacing/>
        <w:textAlignment w:val="auto"/>
      </w:pPr>
    </w:p>
    <w:p w:rsidR="00FA6C4A" w:rsidRPr="00D008D2" w:rsidRDefault="0091464C">
      <w:pPr>
        <w:overflowPunct/>
        <w:adjustRightInd/>
        <w:contextualSpacing/>
        <w:textAlignment w:val="auto"/>
      </w:pPr>
      <w:r w:rsidRPr="00D008D2">
        <w:t xml:space="preserve">The organisation of the KEP on </w:t>
      </w:r>
      <w:r w:rsidR="00E25B19" w:rsidRPr="00D008D2">
        <w:t xml:space="preserve">Innovating </w:t>
      </w:r>
      <w:r w:rsidR="00E30478">
        <w:t>c</w:t>
      </w:r>
      <w:r w:rsidR="00E25B19" w:rsidRPr="00D008D2">
        <w:t xml:space="preserve">ities </w:t>
      </w:r>
      <w:r w:rsidR="0094371C" w:rsidRPr="00D008D2">
        <w:t xml:space="preserve">with </w:t>
      </w:r>
      <w:r w:rsidR="00E30478">
        <w:t>n</w:t>
      </w:r>
      <w:r w:rsidR="00E25B19" w:rsidRPr="00D008D2">
        <w:t xml:space="preserve">ature </w:t>
      </w:r>
      <w:r w:rsidR="00AD3088" w:rsidRPr="00D008D2">
        <w:t>and</w:t>
      </w:r>
      <w:r w:rsidR="00E25B19" w:rsidRPr="00D008D2">
        <w:t xml:space="preserve"> Nature-based </w:t>
      </w:r>
      <w:r w:rsidR="0094371C" w:rsidRPr="00D008D2">
        <w:t>S</w:t>
      </w:r>
      <w:r w:rsidR="00E25B19" w:rsidRPr="00D008D2">
        <w:t xml:space="preserve">olutions </w:t>
      </w:r>
      <w:r w:rsidRPr="00D008D2">
        <w:t>is outlined</w:t>
      </w:r>
      <w:r w:rsidR="00744CB7" w:rsidRPr="00D008D2">
        <w:t xml:space="preserve"> </w:t>
      </w:r>
      <w:r w:rsidR="00AD3088" w:rsidRPr="00D008D2">
        <w:t>below</w:t>
      </w:r>
      <w:r w:rsidR="00E25B19" w:rsidRPr="00D008D2">
        <w:t xml:space="preserve">: </w:t>
      </w:r>
    </w:p>
    <w:p w:rsidR="00FA6C4A" w:rsidRPr="00D008D2" w:rsidRDefault="00FA6C4A">
      <w:pPr>
        <w:overflowPunct/>
        <w:adjustRightInd/>
        <w:contextualSpacing/>
        <w:textAlignment w:val="auto"/>
      </w:pPr>
    </w:p>
    <w:p w:rsidR="0091464C" w:rsidRPr="00D008D2" w:rsidRDefault="00FA6C4A">
      <w:pPr>
        <w:overflowPunct/>
        <w:adjustRightInd/>
        <w:contextualSpacing/>
        <w:textAlignment w:val="auto"/>
      </w:pPr>
      <w:r w:rsidRPr="00D008D2">
        <w:t>I</w:t>
      </w:r>
      <w:r w:rsidR="00E25B19" w:rsidRPr="00D008D2">
        <w:t>n first half of 2018</w:t>
      </w:r>
      <w:r w:rsidR="0091464C" w:rsidRPr="00D008D2">
        <w:t xml:space="preserve">, a </w:t>
      </w:r>
      <w:r w:rsidR="001B7E0E">
        <w:rPr>
          <w:u w:val="single"/>
        </w:rPr>
        <w:t>t</w:t>
      </w:r>
      <w:r w:rsidR="0091464C" w:rsidRPr="00D008D2">
        <w:rPr>
          <w:u w:val="single"/>
        </w:rPr>
        <w:t xml:space="preserve">hematic </w:t>
      </w:r>
      <w:r w:rsidR="001B7E0E">
        <w:rPr>
          <w:u w:val="single"/>
        </w:rPr>
        <w:t>s</w:t>
      </w:r>
      <w:r w:rsidR="0091464C" w:rsidRPr="00D008D2">
        <w:rPr>
          <w:u w:val="single"/>
        </w:rPr>
        <w:t>eminar</w:t>
      </w:r>
      <w:r w:rsidR="0091464C" w:rsidRPr="00D008D2">
        <w:t xml:space="preserve"> will be organised with the working title </w:t>
      </w:r>
      <w:r w:rsidR="00371611" w:rsidRPr="00D008D2">
        <w:t xml:space="preserve">"R&amp;I </w:t>
      </w:r>
      <w:r w:rsidR="00B95964">
        <w:t>p</w:t>
      </w:r>
      <w:r w:rsidR="00371611" w:rsidRPr="00D008D2">
        <w:t xml:space="preserve">olicy </w:t>
      </w:r>
      <w:r w:rsidR="00B95964">
        <w:t>s</w:t>
      </w:r>
      <w:r w:rsidR="002945AD" w:rsidRPr="00D008D2">
        <w:t>eminar</w:t>
      </w:r>
      <w:r w:rsidR="00371611" w:rsidRPr="00D008D2">
        <w:t xml:space="preserve">: </w:t>
      </w:r>
      <w:r w:rsidR="002239C1" w:rsidRPr="00D008D2">
        <w:t>S</w:t>
      </w:r>
      <w:r w:rsidR="00371611" w:rsidRPr="00D008D2">
        <w:t>ustainable cities with nature-based solutions</w:t>
      </w:r>
      <w:r w:rsidR="0093297D" w:rsidRPr="00D008D2">
        <w:t xml:space="preserve"> for the implementation of the Nature Directives</w:t>
      </w:r>
      <w:r w:rsidR="00371611" w:rsidRPr="00D008D2">
        <w:t xml:space="preserve">". </w:t>
      </w:r>
      <w:r w:rsidR="0091464C" w:rsidRPr="00D008D2">
        <w:t xml:space="preserve">For this </w:t>
      </w:r>
      <w:r w:rsidR="00AD3088" w:rsidRPr="00D008D2">
        <w:t>t</w:t>
      </w:r>
      <w:r w:rsidR="0091464C" w:rsidRPr="00D008D2">
        <w:t xml:space="preserve">hematic </w:t>
      </w:r>
      <w:r w:rsidR="00AD3088" w:rsidRPr="00D008D2">
        <w:t>s</w:t>
      </w:r>
      <w:r w:rsidR="0091464C" w:rsidRPr="00D008D2">
        <w:t xml:space="preserve">eminar, experts in </w:t>
      </w:r>
      <w:r w:rsidR="00AD3088" w:rsidRPr="00D008D2">
        <w:t>s</w:t>
      </w:r>
      <w:r w:rsidR="002239C1" w:rsidRPr="00D008D2">
        <w:t xml:space="preserve">ustainable </w:t>
      </w:r>
      <w:r w:rsidR="00AD3088" w:rsidRPr="00D008D2">
        <w:t>c</w:t>
      </w:r>
      <w:r w:rsidR="002239C1" w:rsidRPr="00D008D2">
        <w:t xml:space="preserve">ities with </w:t>
      </w:r>
      <w:r w:rsidR="00E25B19" w:rsidRPr="00D008D2">
        <w:t>nature-based solutions</w:t>
      </w:r>
      <w:r w:rsidR="0091464C" w:rsidRPr="00D008D2">
        <w:t>, local and regional authorities</w:t>
      </w:r>
      <w:r w:rsidR="002239C1" w:rsidRPr="00D008D2">
        <w:t xml:space="preserve">, </w:t>
      </w:r>
      <w:r w:rsidRPr="00D008D2">
        <w:t>the private sector</w:t>
      </w:r>
      <w:r w:rsidR="001B7E0E">
        <w:t>,</w:t>
      </w:r>
      <w:r w:rsidRPr="00D008D2">
        <w:t xml:space="preserve"> civil society organisations</w:t>
      </w:r>
      <w:r w:rsidR="0091464C" w:rsidRPr="00D008D2">
        <w:t xml:space="preserve"> and EU policy makers will be brought together to discuss </w:t>
      </w:r>
      <w:r w:rsidRPr="00D008D2">
        <w:t>how to optimise</w:t>
      </w:r>
      <w:r w:rsidR="0091464C" w:rsidRPr="00D008D2">
        <w:t xml:space="preserve"> the coordination of different funding programmes and schemes to advance </w:t>
      </w:r>
      <w:r w:rsidR="00137E1F" w:rsidRPr="00D008D2">
        <w:t xml:space="preserve">related </w:t>
      </w:r>
      <w:r w:rsidR="0091464C" w:rsidRPr="00D008D2">
        <w:t xml:space="preserve">R&amp;I </w:t>
      </w:r>
      <w:r w:rsidR="002A49F1" w:rsidRPr="00D008D2">
        <w:t>at</w:t>
      </w:r>
      <w:r w:rsidR="0091464C" w:rsidRPr="00D008D2">
        <w:t xml:space="preserve"> local and regional level</w:t>
      </w:r>
      <w:r w:rsidR="0093297D" w:rsidRPr="00D008D2">
        <w:t>, in relation to the implementation of the Nature Directives</w:t>
      </w:r>
      <w:r w:rsidR="0091464C" w:rsidRPr="00D008D2">
        <w:t xml:space="preserve">. </w:t>
      </w:r>
    </w:p>
    <w:p w:rsidR="00371611" w:rsidRPr="00D008D2" w:rsidRDefault="00371611">
      <w:pPr>
        <w:overflowPunct/>
        <w:adjustRightInd/>
        <w:contextualSpacing/>
        <w:textAlignment w:val="auto"/>
      </w:pPr>
    </w:p>
    <w:p w:rsidR="00371611" w:rsidRPr="00D008D2" w:rsidRDefault="004E033C">
      <w:pPr>
        <w:overflowPunct/>
        <w:adjustRightInd/>
        <w:contextualSpacing/>
        <w:textAlignment w:val="auto"/>
      </w:pPr>
      <w:r w:rsidRPr="00D008D2">
        <w:t>In May 2018</w:t>
      </w:r>
      <w:r w:rsidR="00616113" w:rsidRPr="00D008D2">
        <w:t>, there will be</w:t>
      </w:r>
      <w:r w:rsidRPr="00D008D2">
        <w:t xml:space="preserve"> </w:t>
      </w:r>
      <w:r w:rsidR="001B7E0E">
        <w:rPr>
          <w:u w:val="single"/>
        </w:rPr>
        <w:t>s</w:t>
      </w:r>
      <w:r w:rsidRPr="00D008D2">
        <w:rPr>
          <w:u w:val="single"/>
        </w:rPr>
        <w:t xml:space="preserve">howcasing </w:t>
      </w:r>
      <w:r w:rsidR="001B7E0E">
        <w:rPr>
          <w:u w:val="single"/>
        </w:rPr>
        <w:t>e</w:t>
      </w:r>
      <w:r w:rsidRPr="00D008D2">
        <w:rPr>
          <w:u w:val="single"/>
        </w:rPr>
        <w:t>vent</w:t>
      </w:r>
      <w:r w:rsidR="00616113" w:rsidRPr="00D008D2">
        <w:rPr>
          <w:u w:val="single"/>
        </w:rPr>
        <w:t>s</w:t>
      </w:r>
      <w:r w:rsidRPr="00D008D2">
        <w:t xml:space="preserve"> linked to the</w:t>
      </w:r>
      <w:r w:rsidR="00371611" w:rsidRPr="00D008D2">
        <w:t xml:space="preserve"> </w:t>
      </w:r>
      <w:r w:rsidR="009317AC" w:rsidRPr="00D008D2">
        <w:t>"</w:t>
      </w:r>
      <w:r w:rsidR="00371611" w:rsidRPr="00D008D2">
        <w:t>EU</w:t>
      </w:r>
      <w:r w:rsidRPr="00D008D2">
        <w:t xml:space="preserve"> Green Week</w:t>
      </w:r>
      <w:r w:rsidR="009317AC" w:rsidRPr="00D008D2">
        <w:t>"</w:t>
      </w:r>
      <w:r w:rsidRPr="00D008D2">
        <w:t>, which is organised every year and which is Europe</w:t>
      </w:r>
      <w:r w:rsidR="001B7E0E">
        <w:t>'</w:t>
      </w:r>
      <w:r w:rsidRPr="00D008D2">
        <w:t xml:space="preserve">s most important </w:t>
      </w:r>
      <w:r w:rsidR="00AD3088" w:rsidRPr="00D008D2">
        <w:t>p</w:t>
      </w:r>
      <w:r w:rsidRPr="00D008D2">
        <w:t xml:space="preserve">olicy </w:t>
      </w:r>
      <w:r w:rsidR="00AD3088" w:rsidRPr="00D008D2">
        <w:t>c</w:t>
      </w:r>
      <w:r w:rsidRPr="00D008D2">
        <w:t xml:space="preserve">onference dedicated to </w:t>
      </w:r>
      <w:r w:rsidR="00AD3088" w:rsidRPr="00D008D2">
        <w:t xml:space="preserve">the </w:t>
      </w:r>
      <w:r w:rsidRPr="00D008D2">
        <w:t xml:space="preserve">environment. </w:t>
      </w:r>
      <w:r w:rsidR="00371611" w:rsidRPr="00D008D2">
        <w:t xml:space="preserve">The 2018 EU Green Week theme is "Green Cities for a greener future". </w:t>
      </w:r>
      <w:r w:rsidRPr="00D008D2">
        <w:t xml:space="preserve">The Green Week </w:t>
      </w:r>
      <w:r w:rsidR="00371611" w:rsidRPr="00D008D2">
        <w:t>is organised in Brussels</w:t>
      </w:r>
      <w:r w:rsidR="003D2820" w:rsidRPr="00D008D2">
        <w:t>,</w:t>
      </w:r>
      <w:r w:rsidR="00371611" w:rsidRPr="00D008D2">
        <w:t xml:space="preserve"> and </w:t>
      </w:r>
      <w:r w:rsidR="00FA6C4A" w:rsidRPr="00D008D2">
        <w:t xml:space="preserve">additional </w:t>
      </w:r>
      <w:r w:rsidR="00423CAE" w:rsidRPr="00D008D2">
        <w:t xml:space="preserve">partner </w:t>
      </w:r>
      <w:r w:rsidRPr="00D008D2">
        <w:t xml:space="preserve">events are </w:t>
      </w:r>
      <w:r w:rsidR="00FA6C4A" w:rsidRPr="00D008D2">
        <w:t xml:space="preserve">located </w:t>
      </w:r>
      <w:r w:rsidRPr="00D008D2">
        <w:t xml:space="preserve">in the EU Member States. This conference will </w:t>
      </w:r>
      <w:r w:rsidR="001B7E0E">
        <w:t>provide</w:t>
      </w:r>
      <w:r w:rsidR="001B7E0E" w:rsidRPr="00D008D2">
        <w:t xml:space="preserve"> </w:t>
      </w:r>
      <w:r w:rsidR="00AD3088" w:rsidRPr="00D008D2">
        <w:t>an</w:t>
      </w:r>
      <w:r w:rsidRPr="00D008D2">
        <w:t xml:space="preserve"> opportunity to attract a large variety of EU stakeholders, linking cities to the implementation of the Nature Directives.</w:t>
      </w:r>
      <w:r w:rsidR="00371611" w:rsidRPr="00D008D2">
        <w:t xml:space="preserve"> In this context, t</w:t>
      </w:r>
      <w:r w:rsidR="003D2820" w:rsidRPr="00D008D2">
        <w:t>hree</w:t>
      </w:r>
      <w:r w:rsidR="00371611" w:rsidRPr="00D008D2">
        <w:t xml:space="preserve"> showcasing events are possible, with different levels of </w:t>
      </w:r>
      <w:r w:rsidR="00423CAE" w:rsidRPr="00D008D2">
        <w:t>participation</w:t>
      </w:r>
      <w:r w:rsidR="00371611" w:rsidRPr="00D008D2">
        <w:t>:</w:t>
      </w:r>
    </w:p>
    <w:p w:rsidR="00423CAE" w:rsidRPr="00D008D2" w:rsidRDefault="00423CAE">
      <w:pPr>
        <w:overflowPunct/>
        <w:adjustRightInd/>
        <w:contextualSpacing/>
        <w:textAlignment w:val="auto"/>
      </w:pPr>
    </w:p>
    <w:p w:rsidR="00C201A1" w:rsidRPr="00D008D2" w:rsidRDefault="00D008D2" w:rsidP="00BF5236">
      <w:pPr>
        <w:pStyle w:val="ListParagraph"/>
        <w:numPr>
          <w:ilvl w:val="0"/>
          <w:numId w:val="32"/>
        </w:numPr>
        <w:suppressAutoHyphens/>
        <w:overflowPunct/>
        <w:adjustRightInd/>
        <w:ind w:left="714" w:hanging="357"/>
        <w:textAlignment w:val="auto"/>
      </w:pPr>
      <w:r w:rsidRPr="00D008D2">
        <w:rPr>
          <w:u w:val="single"/>
        </w:rPr>
        <w:t>EU Green Week Partner Event:</w:t>
      </w:r>
      <w:r w:rsidRPr="00D008D2">
        <w:t xml:space="preserve"> Think</w:t>
      </w:r>
      <w:r w:rsidR="00D76B50">
        <w:t xml:space="preserve"> </w:t>
      </w:r>
      <w:r w:rsidRPr="00D008D2">
        <w:t xml:space="preserve">Nature Brainstorming Forum in La </w:t>
      </w:r>
      <w:proofErr w:type="spellStart"/>
      <w:r w:rsidRPr="00D008D2">
        <w:t>Coruña</w:t>
      </w:r>
      <w:proofErr w:type="spellEnd"/>
      <w:r w:rsidRPr="00D008D2">
        <w:t>, Spain, (16</w:t>
      </w:r>
      <w:r w:rsidRPr="00D008D2">
        <w:noBreakHyphen/>
        <w:t xml:space="preserve">18 May 2018) organised by the Nature-Based Solutions Stakeholder Platform, </w:t>
      </w:r>
      <w:r w:rsidRPr="00D008D2">
        <w:rPr>
          <w:color w:val="000000"/>
        </w:rPr>
        <w:t xml:space="preserve">in conjunction with the "Symposium on Indicators for Transformative City Innovation with Nature-based solutions", organised by the EU-funded Connecting Nature project. </w:t>
      </w:r>
      <w:r w:rsidRPr="00D008D2">
        <w:t xml:space="preserve">The focus will be on sustainable urbanisation and restoring degraded ecosystems, and it will include discussions as well as interactive working sessions on best practice. Over 100 delegates from across the EU and from overseas are expected, including business representatives, market actors, scientists, experts, policy makers and end users such as municipalities </w:t>
      </w:r>
      <w:r w:rsidR="001B7E0E">
        <w:t xml:space="preserve">and </w:t>
      </w:r>
      <w:r w:rsidRPr="00D008D2">
        <w:t>local and regional authorities. This event should explore links to the implementation of the Nature Directives.</w:t>
      </w:r>
    </w:p>
    <w:p w:rsidR="00A22EAE" w:rsidRPr="00D008D2" w:rsidRDefault="00D008D2" w:rsidP="00BF5236">
      <w:pPr>
        <w:pStyle w:val="ListParagraph"/>
        <w:numPr>
          <w:ilvl w:val="0"/>
          <w:numId w:val="32"/>
        </w:numPr>
        <w:overflowPunct/>
        <w:adjustRightInd/>
        <w:ind w:left="714" w:hanging="357"/>
        <w:textAlignment w:val="auto"/>
        <w:rPr>
          <w:lang w:val="en"/>
        </w:rPr>
      </w:pPr>
      <w:r w:rsidRPr="00D008D2">
        <w:rPr>
          <w:u w:val="single"/>
        </w:rPr>
        <w:t>EU Green Week session in the official programme in Brussels</w:t>
      </w:r>
      <w:r w:rsidRPr="00D008D2">
        <w:t>: "Cities as actors of open innovation: A Strategic Research and Innovation Agenda for sustainable urban development", in collaboration with DGs RTD and DG ENV.</w:t>
      </w:r>
      <w:r w:rsidRPr="00D008D2">
        <w:rPr>
          <w:b/>
        </w:rPr>
        <w:t xml:space="preserve"> </w:t>
      </w:r>
      <w:r w:rsidRPr="00D008D2">
        <w:t>The session will showcase that</w:t>
      </w:r>
      <w:r w:rsidRPr="00D008D2">
        <w:rPr>
          <w:b/>
        </w:rPr>
        <w:t xml:space="preserve"> </w:t>
      </w:r>
      <w:r w:rsidRPr="00D008D2">
        <w:rPr>
          <w:lang w:val="en"/>
        </w:rPr>
        <w:t xml:space="preserve">investing in </w:t>
      </w:r>
      <w:proofErr w:type="gramStart"/>
      <w:r w:rsidRPr="00D008D2">
        <w:rPr>
          <w:lang w:val="en"/>
        </w:rPr>
        <w:t>R&amp;I</w:t>
      </w:r>
      <w:proofErr w:type="gramEnd"/>
      <w:r w:rsidRPr="00D008D2">
        <w:rPr>
          <w:lang w:val="en"/>
        </w:rPr>
        <w:t xml:space="preserve"> </w:t>
      </w:r>
      <w:r w:rsidR="001B7E0E">
        <w:rPr>
          <w:lang w:val="en"/>
        </w:rPr>
        <w:t>using</w:t>
      </w:r>
      <w:r w:rsidR="001B7E0E" w:rsidRPr="00D008D2">
        <w:rPr>
          <w:lang w:val="en"/>
        </w:rPr>
        <w:t xml:space="preserve"> </w:t>
      </w:r>
      <w:r w:rsidRPr="00D008D2">
        <w:rPr>
          <w:lang w:val="en"/>
        </w:rPr>
        <w:t xml:space="preserve">the urban food, water, energy and climate nexus approach can advance the knowledge base and options for sustainable solutions. It will also promote the systemic </w:t>
      </w:r>
      <w:r w:rsidRPr="00D008D2">
        <w:rPr>
          <w:lang w:val="en"/>
        </w:rPr>
        <w:lastRenderedPageBreak/>
        <w:t xml:space="preserve">approach to new urban solutions that combine digital, social, cultural, technological and nature-based innovation, in line with the Habitat III New Urban Agenda and the Sustainable Development Goals. The session will highlight </w:t>
      </w:r>
      <w:r w:rsidR="001B7E0E">
        <w:rPr>
          <w:lang w:val="en"/>
        </w:rPr>
        <w:t xml:space="preserve">the fact </w:t>
      </w:r>
      <w:r w:rsidRPr="00D008D2">
        <w:rPr>
          <w:lang w:val="en"/>
        </w:rPr>
        <w:t>that such innovative, visionary and systemic solutions provide new opportunities for achieving water, energy and food security while reducing tensions between different systems</w:t>
      </w:r>
      <w:r w:rsidR="001B7E0E">
        <w:rPr>
          <w:lang w:val="en"/>
        </w:rPr>
        <w:t>,</w:t>
      </w:r>
      <w:r w:rsidRPr="00D008D2">
        <w:rPr>
          <w:lang w:val="en"/>
        </w:rPr>
        <w:t xml:space="preserve"> and </w:t>
      </w:r>
      <w:r w:rsidR="001B7E0E">
        <w:rPr>
          <w:lang w:val="en"/>
        </w:rPr>
        <w:t>contribute to</w:t>
      </w:r>
      <w:r w:rsidR="001B7E0E" w:rsidRPr="00D008D2">
        <w:rPr>
          <w:lang w:val="en"/>
        </w:rPr>
        <w:t xml:space="preserve"> </w:t>
      </w:r>
      <w:r w:rsidRPr="00D008D2">
        <w:rPr>
          <w:lang w:val="en"/>
        </w:rPr>
        <w:t xml:space="preserve">the transition to resilient, inclusive, safe and sustainable cities that embrace an open "urban innovation ecosystem" approach. </w:t>
      </w:r>
      <w:r w:rsidRPr="00D008D2">
        <w:t xml:space="preserve">This event should </w:t>
      </w:r>
      <w:r w:rsidR="001B7E0E">
        <w:t xml:space="preserve">also </w:t>
      </w:r>
      <w:r w:rsidRPr="00D008D2">
        <w:t>explore links to the implementation of the Nature Directives.</w:t>
      </w:r>
    </w:p>
    <w:p w:rsidR="00C86D23" w:rsidRDefault="00C86D23">
      <w:pPr>
        <w:overflowPunct/>
        <w:adjustRightInd/>
        <w:contextualSpacing/>
        <w:textAlignment w:val="auto"/>
        <w:rPr>
          <w:u w:val="single"/>
        </w:rPr>
      </w:pPr>
    </w:p>
    <w:p w:rsidR="00EE3F16" w:rsidRPr="00D008D2" w:rsidRDefault="0091464C">
      <w:pPr>
        <w:overflowPunct/>
        <w:adjustRightInd/>
        <w:contextualSpacing/>
        <w:textAlignment w:val="auto"/>
      </w:pPr>
      <w:r w:rsidRPr="00D008D2">
        <w:rPr>
          <w:u w:val="single"/>
        </w:rPr>
        <w:t xml:space="preserve">The </w:t>
      </w:r>
      <w:r w:rsidR="00A3525A" w:rsidRPr="00D008D2">
        <w:rPr>
          <w:u w:val="single"/>
        </w:rPr>
        <w:t>p</w:t>
      </w:r>
      <w:r w:rsidRPr="00D008D2">
        <w:rPr>
          <w:u w:val="single"/>
        </w:rPr>
        <w:t>eer-to-</w:t>
      </w:r>
      <w:r w:rsidR="00A3525A" w:rsidRPr="00D008D2">
        <w:rPr>
          <w:u w:val="single"/>
        </w:rPr>
        <w:t>p</w:t>
      </w:r>
      <w:r w:rsidRPr="00D008D2">
        <w:rPr>
          <w:u w:val="single"/>
        </w:rPr>
        <w:t xml:space="preserve">eer </w:t>
      </w:r>
      <w:r w:rsidR="00A3525A" w:rsidRPr="00D008D2">
        <w:rPr>
          <w:u w:val="single"/>
        </w:rPr>
        <w:t>e</w:t>
      </w:r>
      <w:r w:rsidRPr="00D008D2">
        <w:rPr>
          <w:u w:val="single"/>
        </w:rPr>
        <w:t>vents</w:t>
      </w:r>
      <w:r w:rsidRPr="00D008D2">
        <w:t xml:space="preserve"> will be organised with </w:t>
      </w:r>
      <w:proofErr w:type="spellStart"/>
      <w:r w:rsidRPr="00D008D2">
        <w:t>CoR</w:t>
      </w:r>
      <w:proofErr w:type="spellEnd"/>
      <w:r w:rsidRPr="00D008D2">
        <w:t xml:space="preserve"> member</w:t>
      </w:r>
      <w:r w:rsidR="001C7902" w:rsidRPr="00D008D2">
        <w:t xml:space="preserve">s interested in hosting such </w:t>
      </w:r>
      <w:r w:rsidRPr="00D008D2">
        <w:t>event</w:t>
      </w:r>
      <w:r w:rsidR="001C7902" w:rsidRPr="00D008D2">
        <w:t>s</w:t>
      </w:r>
      <w:r w:rsidRPr="00D008D2">
        <w:t>.</w:t>
      </w:r>
      <w:r w:rsidR="00371611" w:rsidRPr="00D008D2">
        <w:t xml:space="preserve"> </w:t>
      </w:r>
      <w:r w:rsidR="00C201A1" w:rsidRPr="00D008D2">
        <w:t xml:space="preserve">The Nature-Based Solutions </w:t>
      </w:r>
      <w:r w:rsidR="001C7902" w:rsidRPr="00D008D2">
        <w:t>and</w:t>
      </w:r>
      <w:r w:rsidR="00EE3F16" w:rsidRPr="00D008D2">
        <w:t xml:space="preserve"> Sustainable City </w:t>
      </w:r>
      <w:r w:rsidR="00C201A1" w:rsidRPr="00D008D2">
        <w:t xml:space="preserve">community involved in EU-funded projects includes a network of </w:t>
      </w:r>
      <w:r w:rsidR="000C3165" w:rsidRPr="00D008D2">
        <w:t xml:space="preserve">over </w:t>
      </w:r>
      <w:r w:rsidR="00C201A1" w:rsidRPr="00D008D2">
        <w:t xml:space="preserve">80 cities and regions, </w:t>
      </w:r>
      <w:r w:rsidR="001B7E0E">
        <w:t xml:space="preserve">and </w:t>
      </w:r>
      <w:r w:rsidR="00C201A1" w:rsidRPr="00D008D2">
        <w:t xml:space="preserve">some </w:t>
      </w:r>
      <w:r w:rsidR="001B7E0E">
        <w:t>members of the community</w:t>
      </w:r>
      <w:r w:rsidR="00C201A1" w:rsidRPr="00D008D2">
        <w:t xml:space="preserve"> </w:t>
      </w:r>
      <w:r w:rsidR="000C3165" w:rsidRPr="00D008D2">
        <w:t xml:space="preserve">are </w:t>
      </w:r>
      <w:r w:rsidR="001B7E0E">
        <w:t xml:space="preserve">also </w:t>
      </w:r>
      <w:r w:rsidR="00C201A1" w:rsidRPr="00D008D2">
        <w:t xml:space="preserve">members of the </w:t>
      </w:r>
      <w:proofErr w:type="spellStart"/>
      <w:r w:rsidR="00C201A1" w:rsidRPr="00D008D2">
        <w:t>CoR.</w:t>
      </w:r>
      <w:proofErr w:type="spellEnd"/>
      <w:r w:rsidR="00C201A1" w:rsidRPr="00D008D2">
        <w:t xml:space="preserve"> Given the participatory nature of the </w:t>
      </w:r>
      <w:r w:rsidR="00EE3F16" w:rsidRPr="00D008D2">
        <w:t>H</w:t>
      </w:r>
      <w:r w:rsidR="001C7902" w:rsidRPr="00D008D2">
        <w:t>orizon 2020</w:t>
      </w:r>
      <w:r w:rsidR="00167EEA" w:rsidRPr="00D008D2">
        <w:t>-</w:t>
      </w:r>
      <w:r w:rsidR="001C7902" w:rsidRPr="00D008D2">
        <w:t>funded</w:t>
      </w:r>
      <w:r w:rsidR="00EE3F16" w:rsidRPr="00D008D2">
        <w:t xml:space="preserve"> </w:t>
      </w:r>
      <w:r w:rsidR="00167EEA" w:rsidRPr="00D008D2">
        <w:t>"</w:t>
      </w:r>
      <w:r w:rsidR="00EE3F16" w:rsidRPr="00D008D2">
        <w:t>Sustainable Cities</w:t>
      </w:r>
      <w:r w:rsidR="00167EEA" w:rsidRPr="00D008D2">
        <w:t>"</w:t>
      </w:r>
      <w:r w:rsidR="00EE3F16" w:rsidRPr="00D008D2">
        <w:t xml:space="preserve"> </w:t>
      </w:r>
      <w:r w:rsidR="00C201A1" w:rsidRPr="00D008D2">
        <w:t>demonstration projects</w:t>
      </w:r>
      <w:r w:rsidR="00167EEA" w:rsidRPr="00D008D2">
        <w:t>,</w:t>
      </w:r>
      <w:r w:rsidR="00EE3F16" w:rsidRPr="00D008D2">
        <w:t xml:space="preserve"> </w:t>
      </w:r>
      <w:r w:rsidR="00C201A1" w:rsidRPr="00D008D2">
        <w:t xml:space="preserve">the </w:t>
      </w:r>
      <w:r w:rsidR="0055285E">
        <w:t>subject of</w:t>
      </w:r>
      <w:r w:rsidR="0055285E" w:rsidRPr="00D008D2">
        <w:t xml:space="preserve"> </w:t>
      </w:r>
      <w:r w:rsidR="00C201A1" w:rsidRPr="00D008D2">
        <w:t xml:space="preserve">"Public Engagement and Citizens Science for Nature-Based Solutions" is proposed </w:t>
      </w:r>
      <w:r w:rsidR="009317AC" w:rsidRPr="00D008D2">
        <w:t xml:space="preserve">as </w:t>
      </w:r>
      <w:r w:rsidR="00167EEA" w:rsidRPr="00D008D2">
        <w:t xml:space="preserve">one </w:t>
      </w:r>
      <w:r w:rsidR="00C201A1" w:rsidRPr="00D008D2">
        <w:t xml:space="preserve">possible </w:t>
      </w:r>
      <w:r w:rsidR="00167EEA" w:rsidRPr="00D008D2">
        <w:t xml:space="preserve">theme for the </w:t>
      </w:r>
      <w:r w:rsidR="00AD3088" w:rsidRPr="00D008D2">
        <w:t>p</w:t>
      </w:r>
      <w:r w:rsidR="00C201A1" w:rsidRPr="00D008D2">
        <w:t>eer</w:t>
      </w:r>
      <w:r w:rsidR="0055285E">
        <w:t>-</w:t>
      </w:r>
      <w:r w:rsidR="00C201A1" w:rsidRPr="00D008D2">
        <w:t>to</w:t>
      </w:r>
      <w:r w:rsidR="0055285E">
        <w:t>-</w:t>
      </w:r>
      <w:r w:rsidR="00AD3088" w:rsidRPr="00D008D2">
        <w:t>p</w:t>
      </w:r>
      <w:r w:rsidR="00C201A1" w:rsidRPr="00D008D2">
        <w:t xml:space="preserve">eer events in collaboration with the </w:t>
      </w:r>
      <w:r w:rsidR="001C7902" w:rsidRPr="00D008D2">
        <w:t xml:space="preserve">Nature-Based Solutions </w:t>
      </w:r>
      <w:r w:rsidR="00EE3F16" w:rsidRPr="00D008D2">
        <w:t>Stake</w:t>
      </w:r>
      <w:r w:rsidR="001C7902" w:rsidRPr="00D008D2">
        <w:t>holder</w:t>
      </w:r>
      <w:r w:rsidR="00EE3F16" w:rsidRPr="00D008D2">
        <w:t xml:space="preserve"> </w:t>
      </w:r>
      <w:r w:rsidR="001C7902" w:rsidRPr="00D008D2">
        <w:t>Platform</w:t>
      </w:r>
      <w:r w:rsidR="00EE3F16" w:rsidRPr="00D008D2">
        <w:t>.</w:t>
      </w:r>
      <w:r w:rsidR="00C201A1" w:rsidRPr="00D008D2">
        <w:t xml:space="preserve"> </w:t>
      </w:r>
      <w:r w:rsidR="0093297D" w:rsidRPr="00D008D2">
        <w:t xml:space="preserve">These events should </w:t>
      </w:r>
      <w:r w:rsidR="0055285E">
        <w:t xml:space="preserve">likewise </w:t>
      </w:r>
      <w:r w:rsidR="0093297D" w:rsidRPr="00D008D2">
        <w:t>explore links to the implementation of the Nature Directives.</w:t>
      </w:r>
    </w:p>
    <w:p w:rsidR="0091464C" w:rsidRPr="00D008D2" w:rsidRDefault="0091464C">
      <w:pPr>
        <w:overflowPunct/>
        <w:adjustRightInd/>
        <w:contextualSpacing/>
        <w:textAlignment w:val="auto"/>
        <w:rPr>
          <w:b/>
        </w:rPr>
      </w:pPr>
    </w:p>
    <w:p w:rsidR="00EF733E" w:rsidRPr="00D008D2" w:rsidRDefault="00EF733E" w:rsidP="00BF5236">
      <w:pPr>
        <w:keepNext/>
        <w:overflowPunct/>
        <w:adjustRightInd/>
        <w:contextualSpacing/>
        <w:textAlignment w:val="auto"/>
        <w:rPr>
          <w:b/>
        </w:rPr>
      </w:pPr>
      <w:r w:rsidRPr="00D008D2">
        <w:rPr>
          <w:b/>
        </w:rPr>
        <w:t>KEP activities in the field of Cultural Heritage</w:t>
      </w:r>
    </w:p>
    <w:p w:rsidR="00EF733E" w:rsidRPr="00D008D2" w:rsidRDefault="00EF733E" w:rsidP="00BF5236">
      <w:pPr>
        <w:keepNext/>
        <w:overflowPunct/>
        <w:adjustRightInd/>
        <w:contextualSpacing/>
        <w:textAlignment w:val="auto"/>
        <w:rPr>
          <w:b/>
        </w:rPr>
      </w:pPr>
    </w:p>
    <w:p w:rsidR="006714BD" w:rsidRDefault="006714BD" w:rsidP="006714BD">
      <w:r>
        <w:t xml:space="preserve">Since the 2000s, EU-funded research on cultural heritage has increased considerably. Due to the ever-expanding notion of "heritage" </w:t>
      </w:r>
      <w:r w:rsidR="00D2428E">
        <w:t>–</w:t>
      </w:r>
      <w:r>
        <w:t xml:space="preserve"> currently including natural and cultural, tangible and intangible entities as well as urban and rural areas and landscapes, tourist destinations, places of creative economy, digitali</w:t>
      </w:r>
      <w:r w:rsidR="00D2428E">
        <w:t>s</w:t>
      </w:r>
      <w:r>
        <w:t xml:space="preserve">ed archives and registers, etc. </w:t>
      </w:r>
      <w:r w:rsidR="00D2428E">
        <w:t>–</w:t>
      </w:r>
      <w:r>
        <w:t xml:space="preserve"> practically every academic discipline has become involved in the study of cultural heritage. Customary scientific objects and topics are re-defined as cultural heritage themes, which is not merely </w:t>
      </w:r>
      <w:r w:rsidR="00D2428E" w:rsidRPr="00D76B50">
        <w:t>a matter of</w:t>
      </w:r>
      <w:r w:rsidR="00D2428E">
        <w:t xml:space="preserve"> recognising </w:t>
      </w:r>
      <w:r>
        <w:t xml:space="preserve">new social and political expectations. Research on current European cultural heritage takes also into consideration </w:t>
      </w:r>
      <w:r w:rsidR="00D2428E" w:rsidRPr="00D76B50">
        <w:t>the fact</w:t>
      </w:r>
      <w:r w:rsidR="00D2428E">
        <w:t xml:space="preserve"> </w:t>
      </w:r>
      <w:r>
        <w:t xml:space="preserve">that cultural heritage not only incorporates anything inherited, selected and used in identity formation, but also rearranges these entities into complex ensembles, which are in constant dialogue </w:t>
      </w:r>
      <w:r w:rsidR="00B95964" w:rsidRPr="00D76B50">
        <w:t>with</w:t>
      </w:r>
      <w:r w:rsidRPr="00D76B50">
        <w:t xml:space="preserve"> the </w:t>
      </w:r>
      <w:r w:rsidR="00B95964" w:rsidRPr="00D76B50">
        <w:t>different</w:t>
      </w:r>
      <w:r w:rsidR="00B95964">
        <w:t xml:space="preserve"> </w:t>
      </w:r>
      <w:r>
        <w:t>levels of identity formation</w:t>
      </w:r>
      <w:r w:rsidR="00B95964" w:rsidRPr="00D76B50">
        <w:t>,</w:t>
      </w:r>
      <w:r>
        <w:t xml:space="preserve"> from universal to local.</w:t>
      </w:r>
    </w:p>
    <w:p w:rsidR="006714BD" w:rsidRDefault="006714BD">
      <w:pPr>
        <w:keepNext/>
        <w:keepLines/>
        <w:overflowPunct/>
        <w:adjustRightInd/>
        <w:textAlignment w:val="auto"/>
        <w:rPr>
          <w:rFonts w:eastAsia="Calibri"/>
          <w:color w:val="000000" w:themeColor="text1"/>
        </w:rPr>
      </w:pPr>
    </w:p>
    <w:p w:rsidR="00EF733E" w:rsidRPr="00D008D2" w:rsidRDefault="00EF733E">
      <w:pPr>
        <w:keepNext/>
        <w:keepLines/>
        <w:overflowPunct/>
        <w:adjustRightInd/>
        <w:textAlignment w:val="auto"/>
        <w:rPr>
          <w:rFonts w:eastAsia="Calibri"/>
          <w:color w:val="000000" w:themeColor="text1"/>
        </w:rPr>
      </w:pPr>
      <w:r w:rsidRPr="00D008D2">
        <w:rPr>
          <w:rFonts w:eastAsia="Calibri"/>
          <w:color w:val="000000" w:themeColor="text1"/>
        </w:rPr>
        <w:t>Cultural development strategies present opportunities for regional and local authorities to work together with other stakeholders and jointly identify practical approaches and measures that will stimulate the creation of sustainable cultural eco-systems with a focus on job creation and creative entrepreneurship, thus securing long-term social and economic benefits. An overview of good practice would raise awareness of this potential at local and regional level.</w:t>
      </w:r>
    </w:p>
    <w:p w:rsidR="00EF733E" w:rsidRPr="00D008D2" w:rsidRDefault="00EF733E">
      <w:pPr>
        <w:overflowPunct/>
        <w:adjustRightInd/>
        <w:contextualSpacing/>
        <w:textAlignment w:val="auto"/>
      </w:pPr>
    </w:p>
    <w:p w:rsidR="00EF733E" w:rsidRPr="00D008D2" w:rsidRDefault="00EF733E">
      <w:pPr>
        <w:overflowPunct/>
        <w:adjustRightInd/>
        <w:contextualSpacing/>
        <w:textAlignment w:val="auto"/>
      </w:pPr>
      <w:r w:rsidRPr="00D008D2">
        <w:t xml:space="preserve">The organisation of the KEP on Cultural Heritage is outlined in the following. A </w:t>
      </w:r>
      <w:r w:rsidR="0076063F">
        <w:t>t</w:t>
      </w:r>
      <w:r w:rsidRPr="00D008D2">
        <w:t xml:space="preserve">hematic </w:t>
      </w:r>
      <w:r w:rsidR="0076063F">
        <w:t>s</w:t>
      </w:r>
      <w:r w:rsidRPr="00D008D2">
        <w:t>eminar will be organised in October 2018 in connection with a major Brussels-based event</w:t>
      </w:r>
      <w:r w:rsidR="0076063F">
        <w:t>, the</w:t>
      </w:r>
      <w:r w:rsidRPr="00D008D2">
        <w:t xml:space="preserve"> "European Week of Regions and Cities", with the working title "Cultural Heritage, a living resource for innovating European cities and regions"</w:t>
      </w:r>
      <w:r w:rsidR="00062F8E" w:rsidRPr="00D008D2">
        <w:t>.</w:t>
      </w:r>
      <w:r w:rsidRPr="00D008D2">
        <w:t xml:space="preserve"> In this thematic seminar, experts in cultural heritage, local and regional authorities and EU policy makers will be brought together to discuss the topic and inform the actors at local and regional level of the main dimensions of</w:t>
      </w:r>
      <w:r w:rsidR="00D54640" w:rsidRPr="00D008D2">
        <w:t xml:space="preserve"> </w:t>
      </w:r>
      <w:r w:rsidR="006714BD">
        <w:t>c</w:t>
      </w:r>
      <w:r w:rsidR="006714BD" w:rsidRPr="00D008D2">
        <w:t xml:space="preserve">ultural </w:t>
      </w:r>
      <w:r w:rsidR="006714BD">
        <w:t>h</w:t>
      </w:r>
      <w:r w:rsidR="006714BD" w:rsidRPr="00D008D2">
        <w:t>eritage</w:t>
      </w:r>
      <w:r w:rsidRPr="00D008D2">
        <w:t xml:space="preserve">. </w:t>
      </w:r>
    </w:p>
    <w:p w:rsidR="00EF733E" w:rsidRPr="00D008D2" w:rsidRDefault="00EF733E">
      <w:pPr>
        <w:overflowPunct/>
        <w:adjustRightInd/>
        <w:contextualSpacing/>
        <w:textAlignment w:val="auto"/>
      </w:pPr>
    </w:p>
    <w:p w:rsidR="00EF733E" w:rsidRPr="00D008D2" w:rsidRDefault="00D54640">
      <w:pPr>
        <w:overflowPunct/>
        <w:adjustRightInd/>
        <w:contextualSpacing/>
        <w:textAlignment w:val="auto"/>
      </w:pPr>
      <w:r w:rsidRPr="00D008D2">
        <w:lastRenderedPageBreak/>
        <w:t xml:space="preserve">The </w:t>
      </w:r>
      <w:r w:rsidR="0025362D" w:rsidRPr="00D008D2">
        <w:t>"</w:t>
      </w:r>
      <w:r w:rsidR="00EF733E" w:rsidRPr="00D008D2">
        <w:t>Heritage Alive</w:t>
      </w:r>
      <w:r w:rsidR="0025362D" w:rsidRPr="00D008D2">
        <w:t>"</w:t>
      </w:r>
      <w:r w:rsidR="00EF733E" w:rsidRPr="00D008D2">
        <w:t xml:space="preserve"> section</w:t>
      </w:r>
      <w:r w:rsidR="006714BD">
        <w:rPr>
          <w:rStyle w:val="FootnoteReference"/>
        </w:rPr>
        <w:footnoteReference w:id="4"/>
      </w:r>
      <w:r w:rsidR="00EF733E" w:rsidRPr="00D008D2">
        <w:t xml:space="preserve"> of H</w:t>
      </w:r>
      <w:r w:rsidRPr="00D008D2">
        <w:t xml:space="preserve">orizon </w:t>
      </w:r>
      <w:r w:rsidR="00EF733E" w:rsidRPr="00D008D2">
        <w:t xml:space="preserve">2020 is supporting a future-oriented approach to cultural heritage, </w:t>
      </w:r>
      <w:r w:rsidR="00AD3088" w:rsidRPr="00D008D2">
        <w:t xml:space="preserve">which should be </w:t>
      </w:r>
      <w:r w:rsidR="00EF733E" w:rsidRPr="00D008D2">
        <w:t xml:space="preserve">considered as a strategic living resource for society and </w:t>
      </w:r>
      <w:r w:rsidR="00AD3088" w:rsidRPr="00D008D2">
        <w:t xml:space="preserve">the </w:t>
      </w:r>
      <w:r w:rsidR="00EF733E" w:rsidRPr="00D008D2">
        <w:t>economy rather than as passive stock to be protected. On</w:t>
      </w:r>
      <w:r w:rsidRPr="00D008D2">
        <w:t>-</w:t>
      </w:r>
      <w:r w:rsidR="00EF733E" w:rsidRPr="00D008D2">
        <w:t xml:space="preserve">going R&amp;I projects deal with the regeneration of city centres and rural landscapes, as well as </w:t>
      </w:r>
      <w:r w:rsidRPr="00D008D2">
        <w:t xml:space="preserve">with </w:t>
      </w:r>
      <w:r w:rsidR="00EF733E" w:rsidRPr="00D008D2">
        <w:t>innovative re</w:t>
      </w:r>
      <w:r w:rsidRPr="00D008D2">
        <w:t>-</w:t>
      </w:r>
      <w:r w:rsidR="00EF733E" w:rsidRPr="00D008D2">
        <w:t xml:space="preserve">uses of historic buildings and districts in cities and regions. Beside projects at urban and landscape scale, </w:t>
      </w:r>
      <w:r w:rsidR="0025362D" w:rsidRPr="00D008D2">
        <w:t>"</w:t>
      </w:r>
      <w:r w:rsidR="00EF733E" w:rsidRPr="00D008D2">
        <w:t>Heritage Alive</w:t>
      </w:r>
      <w:r w:rsidR="0025362D" w:rsidRPr="00D008D2">
        <w:t>"</w:t>
      </w:r>
      <w:r w:rsidR="00EF733E" w:rsidRPr="00D008D2">
        <w:t xml:space="preserve"> is also supporting the creation of an open Community of Innovators on cultural heritage and is funding projects to increase the resilience of cultural heritage sites facing climate change and natural disasters.</w:t>
      </w:r>
      <w:r w:rsidRPr="00D008D2">
        <w:t xml:space="preserve"> </w:t>
      </w:r>
      <w:r w:rsidR="00EF733E" w:rsidRPr="00D008D2">
        <w:t xml:space="preserve">The cultural heritage community involved in such EU-funded projects will include by the end of 2018 more than 40 cities and sites and 15 regions across Europe </w:t>
      </w:r>
      <w:r w:rsidR="00AD3088" w:rsidRPr="00D008D2">
        <w:t xml:space="preserve">and </w:t>
      </w:r>
      <w:r w:rsidR="00EF733E" w:rsidRPr="00D008D2">
        <w:t>also internationally.</w:t>
      </w:r>
    </w:p>
    <w:p w:rsidR="00EF733E" w:rsidRPr="00D008D2" w:rsidRDefault="00EF733E">
      <w:pPr>
        <w:overflowPunct/>
        <w:adjustRightInd/>
        <w:contextualSpacing/>
        <w:textAlignment w:val="auto"/>
        <w:rPr>
          <w:highlight w:val="yellow"/>
        </w:rPr>
      </w:pPr>
    </w:p>
    <w:p w:rsidR="00EF733E" w:rsidRPr="00D008D2" w:rsidRDefault="00EF733E">
      <w:pPr>
        <w:overflowPunct/>
        <w:adjustRightInd/>
        <w:contextualSpacing/>
        <w:textAlignment w:val="auto"/>
      </w:pPr>
      <w:r w:rsidRPr="00D008D2">
        <w:t xml:space="preserve">Activities </w:t>
      </w:r>
      <w:r w:rsidR="0076063F">
        <w:t>planned</w:t>
      </w:r>
      <w:r w:rsidR="0076063F" w:rsidRPr="00D008D2">
        <w:t xml:space="preserve"> </w:t>
      </w:r>
      <w:r w:rsidRPr="00D008D2">
        <w:t xml:space="preserve">for the </w:t>
      </w:r>
      <w:r w:rsidR="00BE3191" w:rsidRPr="00D008D2">
        <w:t xml:space="preserve">2018 </w:t>
      </w:r>
      <w:r w:rsidR="00D54640" w:rsidRPr="00D008D2">
        <w:t>European Year of Cultural Heritage</w:t>
      </w:r>
      <w:r w:rsidR="00D54640" w:rsidRPr="00D008D2">
        <w:rPr>
          <w:rStyle w:val="FootnoteReference"/>
        </w:rPr>
        <w:footnoteReference w:id="5"/>
      </w:r>
      <w:r w:rsidRPr="00D008D2">
        <w:t xml:space="preserve"> under </w:t>
      </w:r>
      <w:r w:rsidR="00D54640" w:rsidRPr="00D008D2">
        <w:t>the "</w:t>
      </w:r>
      <w:r w:rsidRPr="00D008D2">
        <w:t>Heritage Alive</w:t>
      </w:r>
      <w:r w:rsidR="00D54640" w:rsidRPr="00D008D2">
        <w:t>"</w:t>
      </w:r>
      <w:r w:rsidRPr="00D008D2">
        <w:t xml:space="preserve"> approach that can be labelled as KEP </w:t>
      </w:r>
      <w:r w:rsidR="0076063F" w:rsidRPr="00FE6E71">
        <w:t>s</w:t>
      </w:r>
      <w:r w:rsidRPr="00FE6E71">
        <w:t xml:space="preserve">howcasing </w:t>
      </w:r>
      <w:r w:rsidR="0076063F" w:rsidRPr="00FE6E71">
        <w:t>e</w:t>
      </w:r>
      <w:r w:rsidRPr="00FE6E71">
        <w:t>vent</w:t>
      </w:r>
      <w:r w:rsidR="00BE3191" w:rsidRPr="00FE6E71">
        <w:t>s</w:t>
      </w:r>
      <w:r w:rsidR="00D54640" w:rsidRPr="00FE6E71">
        <w:t xml:space="preserve"> are the following</w:t>
      </w:r>
      <w:r w:rsidRPr="00D76B50">
        <w:t>:</w:t>
      </w:r>
    </w:p>
    <w:p w:rsidR="00EF733E" w:rsidRPr="00D008D2" w:rsidRDefault="00EF733E">
      <w:pPr>
        <w:overflowPunct/>
        <w:adjustRightInd/>
        <w:contextualSpacing/>
        <w:textAlignment w:val="auto"/>
      </w:pPr>
    </w:p>
    <w:p w:rsidR="00EF733E" w:rsidRDefault="00D008D2" w:rsidP="00BF5236">
      <w:pPr>
        <w:pStyle w:val="ListParagraph"/>
        <w:numPr>
          <w:ilvl w:val="0"/>
          <w:numId w:val="34"/>
        </w:numPr>
        <w:tabs>
          <w:tab w:val="clear" w:pos="0"/>
        </w:tabs>
        <w:overflowPunct/>
        <w:adjustRightInd/>
        <w:ind w:left="850"/>
        <w:textAlignment w:val="auto"/>
      </w:pPr>
      <w:r w:rsidRPr="00C86D23">
        <w:rPr>
          <w:u w:val="single"/>
        </w:rPr>
        <w:t xml:space="preserve">The </w:t>
      </w:r>
      <w:r w:rsidR="00E30478">
        <w:rPr>
          <w:u w:val="single"/>
        </w:rPr>
        <w:t>w</w:t>
      </w:r>
      <w:r w:rsidRPr="00C86D23">
        <w:rPr>
          <w:u w:val="single"/>
        </w:rPr>
        <w:t>orkshop on "Adaptive reuses of heritage buildings and sites"</w:t>
      </w:r>
      <w:r w:rsidRPr="00D008D2">
        <w:t xml:space="preserve"> will discuss through the most innovative initiatives how to best re-use abandoned buildings and complexes in cities and territories. The theme is of utmost importance for many European cities and regions and is included in one of the "Heritage in transition" initiative</w:t>
      </w:r>
      <w:r w:rsidR="0076063F">
        <w:t>s</w:t>
      </w:r>
      <w:r w:rsidRPr="00D008D2">
        <w:t xml:space="preserve"> </w:t>
      </w:r>
      <w:r w:rsidR="0076063F">
        <w:t>of</w:t>
      </w:r>
      <w:r w:rsidR="0076063F" w:rsidRPr="00D008D2">
        <w:t xml:space="preserve"> </w:t>
      </w:r>
      <w:r w:rsidRPr="00D008D2">
        <w:t>the European Year of Cultural Heritage. The workshop is currently being organi</w:t>
      </w:r>
      <w:r w:rsidR="0076063F">
        <w:t>s</w:t>
      </w:r>
      <w:r w:rsidRPr="00D008D2">
        <w:t>ed together with DG EAC and Europa Nostra for the European Cultural Heritage Summit in Berlin in June 2018.</w:t>
      </w:r>
    </w:p>
    <w:p w:rsidR="00C86D23" w:rsidRPr="00D008D2" w:rsidRDefault="00C86D23" w:rsidP="00BF5236">
      <w:pPr>
        <w:overflowPunct/>
        <w:adjustRightInd/>
        <w:textAlignment w:val="auto"/>
      </w:pPr>
    </w:p>
    <w:p w:rsidR="00EF733E" w:rsidRPr="00D008D2" w:rsidRDefault="00EF733E" w:rsidP="00BF5236">
      <w:pPr>
        <w:pStyle w:val="ListParagraph"/>
        <w:numPr>
          <w:ilvl w:val="0"/>
          <w:numId w:val="34"/>
        </w:numPr>
        <w:tabs>
          <w:tab w:val="clear" w:pos="0"/>
        </w:tabs>
        <w:ind w:left="850"/>
      </w:pPr>
      <w:r w:rsidRPr="00C86D23">
        <w:rPr>
          <w:u w:val="single"/>
        </w:rPr>
        <w:t xml:space="preserve">The </w:t>
      </w:r>
      <w:r w:rsidR="0025362D" w:rsidRPr="00C86D23">
        <w:rPr>
          <w:u w:val="single"/>
        </w:rPr>
        <w:t>"</w:t>
      </w:r>
      <w:r w:rsidRPr="00C86D23">
        <w:rPr>
          <w:u w:val="single"/>
        </w:rPr>
        <w:t>Fair of Innovators on Cultural Heritage</w:t>
      </w:r>
      <w:r w:rsidR="0025362D" w:rsidRPr="00C86D23">
        <w:rPr>
          <w:u w:val="single"/>
        </w:rPr>
        <w:t>"</w:t>
      </w:r>
      <w:r w:rsidRPr="00D008D2">
        <w:t xml:space="preserve">, a </w:t>
      </w:r>
      <w:r w:rsidR="0025362D" w:rsidRPr="00D008D2">
        <w:t>two-day</w:t>
      </w:r>
      <w:r w:rsidRPr="00D008D2">
        <w:t xml:space="preserve"> event with workshops, city talks, debates</w:t>
      </w:r>
      <w:r w:rsidR="0076063F">
        <w:t xml:space="preserve"> and</w:t>
      </w:r>
      <w:r w:rsidRPr="00D008D2">
        <w:t xml:space="preserve"> B2B meetings</w:t>
      </w:r>
      <w:r w:rsidR="0076063F">
        <w:t>,</w:t>
      </w:r>
      <w:r w:rsidRPr="00D008D2">
        <w:t xml:space="preserve"> </w:t>
      </w:r>
      <w:r w:rsidR="0076063F">
        <w:t xml:space="preserve">to take place </w:t>
      </w:r>
      <w:r w:rsidRPr="00D008D2">
        <w:t xml:space="preserve">in November 2018 (location to be decided). The </w:t>
      </w:r>
      <w:r w:rsidR="00C436DF">
        <w:t>f</w:t>
      </w:r>
      <w:r w:rsidRPr="00D008D2">
        <w:t xml:space="preserve">air will include a demo area showcasing the results of </w:t>
      </w:r>
      <w:r w:rsidR="0025362D" w:rsidRPr="00D008D2">
        <w:t>EU-</w:t>
      </w:r>
      <w:r w:rsidRPr="00D008D2">
        <w:t xml:space="preserve">funded R&amp;I projects on cultural heritage including prototypes, products and new solutions that can be very </w:t>
      </w:r>
      <w:r w:rsidR="00C436DF">
        <w:t>useful</w:t>
      </w:r>
      <w:r w:rsidR="00C436DF" w:rsidRPr="00D008D2">
        <w:t xml:space="preserve"> </w:t>
      </w:r>
      <w:r w:rsidRPr="00D008D2">
        <w:t xml:space="preserve">for cities, especially </w:t>
      </w:r>
      <w:r w:rsidR="00C436DF">
        <w:t>those</w:t>
      </w:r>
      <w:r w:rsidRPr="00D008D2">
        <w:t xml:space="preserve"> interested in supporting </w:t>
      </w:r>
      <w:r w:rsidR="00C436DF">
        <w:t xml:space="preserve">the </w:t>
      </w:r>
      <w:r w:rsidRPr="00D008D2">
        <w:t xml:space="preserve">cultural and creative sectors. </w:t>
      </w:r>
    </w:p>
    <w:p w:rsidR="00C86D23" w:rsidRDefault="00C86D23" w:rsidP="00BF5236">
      <w:pPr>
        <w:overflowPunct/>
        <w:adjustRightInd/>
        <w:textAlignment w:val="auto"/>
        <w:rPr>
          <w:u w:val="single"/>
        </w:rPr>
      </w:pPr>
    </w:p>
    <w:p w:rsidR="006714BD" w:rsidRPr="00FE6E71" w:rsidRDefault="006714BD" w:rsidP="006714BD">
      <w:pPr>
        <w:overflowPunct/>
        <w:adjustRightInd/>
        <w:textAlignment w:val="auto"/>
      </w:pPr>
      <w:r w:rsidRPr="00FE6E71">
        <w:t>The "Socioeco</w:t>
      </w:r>
      <w:r w:rsidR="00C436DF" w:rsidRPr="00D76B50">
        <w:t>no</w:t>
      </w:r>
      <w:r w:rsidRPr="00FE6E71">
        <w:t>mic and cultural transformations in the context of the fourth industrial revolution" section</w:t>
      </w:r>
      <w:r w:rsidRPr="00FE6E71">
        <w:rPr>
          <w:rStyle w:val="FootnoteReference"/>
        </w:rPr>
        <w:footnoteReference w:id="6"/>
      </w:r>
      <w:r w:rsidRPr="00FE6E71">
        <w:t xml:space="preserve"> of Horizon 2020 aims to address the challenges linked to the </w:t>
      </w:r>
      <w:r w:rsidR="00E30478">
        <w:t>combined</w:t>
      </w:r>
      <w:r w:rsidRPr="00FE6E71">
        <w:t xml:space="preserve"> socioeconomic and cultural origins and effects in Europe of the fourth industrial revolution in a context of globalisation and digitisation. The R&amp;I activities will provide new evidence and alternative policy options in order to mitigate or support these transformations with a view </w:t>
      </w:r>
      <w:r w:rsidR="00C436DF" w:rsidRPr="00D76B50">
        <w:t>to</w:t>
      </w:r>
      <w:r w:rsidRPr="00FE6E71">
        <w:t xml:space="preserve"> enhancing the diversity of cultures and social bonds, the existing or nascent social and cultural strengths of Europe, as well as reinforcing the social, cultural and economic benefits of the fourth industrial revolution. They will thus contribute to fostering equitable and sustainable prosperity and culture in the broad sense through objective scientific evaluations, social, cultural and technological innovation, co-creation and bottom-up solutions. The R&amp;I activities will also contribute to the objectives and the legacy of the European Year of Cultural Heritage 2018 and to the UN's Sustainable Development Goals. All of the above-described R&amp;I activities are highly relevant for regional and local authorities.</w:t>
      </w:r>
    </w:p>
    <w:p w:rsidR="006714BD" w:rsidRDefault="006714BD" w:rsidP="00BF5236">
      <w:pPr>
        <w:overflowPunct/>
        <w:adjustRightInd/>
        <w:textAlignment w:val="auto"/>
        <w:rPr>
          <w:u w:val="single"/>
        </w:rPr>
      </w:pPr>
    </w:p>
    <w:p w:rsidR="00EF733E" w:rsidRPr="00D008D2" w:rsidRDefault="00EF733E" w:rsidP="00BF5236">
      <w:pPr>
        <w:overflowPunct/>
        <w:adjustRightInd/>
        <w:textAlignment w:val="auto"/>
      </w:pPr>
      <w:r w:rsidRPr="00D008D2">
        <w:rPr>
          <w:u w:val="single"/>
        </w:rPr>
        <w:lastRenderedPageBreak/>
        <w:t>The peer-to-peer events</w:t>
      </w:r>
      <w:r w:rsidRPr="00D008D2">
        <w:t xml:space="preserve"> will be organised with </w:t>
      </w:r>
      <w:proofErr w:type="spellStart"/>
      <w:r w:rsidRPr="00D008D2">
        <w:t>CoR</w:t>
      </w:r>
      <w:proofErr w:type="spellEnd"/>
      <w:r w:rsidRPr="00D008D2">
        <w:t xml:space="preserve"> members interested in hosting events related to </w:t>
      </w:r>
      <w:r w:rsidR="0025362D" w:rsidRPr="00D008D2">
        <w:t>C</w:t>
      </w:r>
      <w:r w:rsidRPr="00D008D2">
        <w:t xml:space="preserve">ultural </w:t>
      </w:r>
      <w:r w:rsidR="0025362D" w:rsidRPr="00D008D2">
        <w:t>H</w:t>
      </w:r>
      <w:r w:rsidRPr="00D008D2">
        <w:t xml:space="preserve">eritage. </w:t>
      </w:r>
      <w:r w:rsidR="0025362D" w:rsidRPr="00D008D2">
        <w:t>V</w:t>
      </w:r>
      <w:r w:rsidRPr="00D008D2">
        <w:t>arious events will take place in European cities and regions involved in</w:t>
      </w:r>
      <w:r w:rsidR="0025362D" w:rsidRPr="00D008D2">
        <w:t xml:space="preserve"> the projects funded under </w:t>
      </w:r>
      <w:r w:rsidRPr="00D008D2">
        <w:t>Societal Challenge</w:t>
      </w:r>
      <w:r w:rsidR="00C436DF">
        <w:t>s</w:t>
      </w:r>
      <w:r w:rsidRPr="00D008D2">
        <w:t xml:space="preserve"> 5 </w:t>
      </w:r>
      <w:r w:rsidR="006714BD" w:rsidRPr="006714BD">
        <w:t xml:space="preserve">and 6 </w:t>
      </w:r>
      <w:r w:rsidR="0025362D" w:rsidRPr="00D008D2">
        <w:t xml:space="preserve">of </w:t>
      </w:r>
      <w:r w:rsidRPr="00D008D2">
        <w:t>H</w:t>
      </w:r>
      <w:r w:rsidR="0025362D" w:rsidRPr="00D008D2">
        <w:t xml:space="preserve">orizon </w:t>
      </w:r>
      <w:r w:rsidRPr="00D008D2">
        <w:t xml:space="preserve">2020. As an example, </w:t>
      </w:r>
      <w:r w:rsidR="0025362D" w:rsidRPr="00D008D2">
        <w:t xml:space="preserve">a </w:t>
      </w:r>
      <w:r w:rsidRPr="00D008D2">
        <w:t xml:space="preserve">kick-off meeting of the </w:t>
      </w:r>
      <w:r w:rsidR="0025362D" w:rsidRPr="00D008D2">
        <w:t>large-</w:t>
      </w:r>
      <w:r w:rsidRPr="00D008D2">
        <w:t xml:space="preserve">scale demonstration project on </w:t>
      </w:r>
      <w:r w:rsidR="0025362D" w:rsidRPr="00D008D2">
        <w:rPr>
          <w:u w:val="single"/>
        </w:rPr>
        <w:t>"</w:t>
      </w:r>
      <w:r w:rsidRPr="00D008D2">
        <w:rPr>
          <w:u w:val="single"/>
        </w:rPr>
        <w:t>Heritage-led rural regeneration</w:t>
      </w:r>
      <w:r w:rsidR="0025362D" w:rsidRPr="00D008D2">
        <w:rPr>
          <w:u w:val="single"/>
        </w:rPr>
        <w:t>"</w:t>
      </w:r>
      <w:r w:rsidRPr="00D008D2">
        <w:t>, involving around 15 regions throughout Europe</w:t>
      </w:r>
      <w:r w:rsidR="0025362D" w:rsidRPr="00D008D2">
        <w:t>, will take place in 2018</w:t>
      </w:r>
      <w:r w:rsidRPr="00D008D2">
        <w:t xml:space="preserve">. </w:t>
      </w:r>
    </w:p>
    <w:p w:rsidR="00A55177" w:rsidRPr="00D008D2" w:rsidRDefault="00A55177">
      <w:pPr>
        <w:overflowPunct/>
        <w:adjustRightInd/>
        <w:ind w:left="720" w:hanging="720"/>
        <w:contextualSpacing/>
        <w:textAlignment w:val="auto"/>
      </w:pPr>
    </w:p>
    <w:p w:rsidR="00526DA0" w:rsidRPr="00D008D2" w:rsidRDefault="00526DA0">
      <w:pPr>
        <w:overflowPunct/>
        <w:adjustRightInd/>
        <w:textAlignment w:val="auto"/>
        <w:rPr>
          <w:b/>
          <w:u w:val="single"/>
        </w:rPr>
      </w:pPr>
      <w:r w:rsidRPr="00D008D2">
        <w:rPr>
          <w:b/>
          <w:u w:val="single"/>
        </w:rPr>
        <w:t xml:space="preserve">Annual Timetable </w:t>
      </w:r>
      <w:r w:rsidR="00C70B69" w:rsidRPr="00D008D2">
        <w:rPr>
          <w:b/>
          <w:u w:val="single"/>
        </w:rPr>
        <w:t>2018</w:t>
      </w:r>
      <w:r w:rsidR="00A55177" w:rsidRPr="00D008D2">
        <w:rPr>
          <w:b/>
          <w:u w:val="single"/>
        </w:rPr>
        <w:t xml:space="preserve"> </w:t>
      </w:r>
      <w:r w:rsidR="00521619" w:rsidRPr="00D008D2">
        <w:rPr>
          <w:b/>
          <w:u w:val="single"/>
        </w:rPr>
        <w:t>(</w:t>
      </w:r>
      <w:r w:rsidR="006844EF" w:rsidRPr="00D008D2">
        <w:rPr>
          <w:b/>
          <w:u w:val="single"/>
        </w:rPr>
        <w:t xml:space="preserve">times approximate, </w:t>
      </w:r>
      <w:r w:rsidR="00521619" w:rsidRPr="00D008D2">
        <w:rPr>
          <w:b/>
          <w:u w:val="single"/>
        </w:rPr>
        <w:t xml:space="preserve">tbc) </w:t>
      </w:r>
      <w:r w:rsidR="00942B95" w:rsidRPr="00D008D2">
        <w:rPr>
          <w:b/>
          <w:u w:val="single"/>
        </w:rPr>
        <w:t xml:space="preserve">for the planned </w:t>
      </w:r>
      <w:r w:rsidRPr="00D008D2">
        <w:rPr>
          <w:b/>
          <w:u w:val="single"/>
        </w:rPr>
        <w:t>activities:</w:t>
      </w:r>
    </w:p>
    <w:p w:rsidR="00526DA0" w:rsidRPr="00D008D2" w:rsidRDefault="00526DA0">
      <w:pPr>
        <w:overflowPunct/>
        <w:adjustRightInd/>
        <w:textAlignment w:val="auto"/>
      </w:pPr>
    </w:p>
    <w:tbl>
      <w:tblPr>
        <w:tblStyle w:val="TableGrid"/>
        <w:tblW w:w="5000" w:type="pct"/>
        <w:tblLayout w:type="fixed"/>
        <w:tblCellMar>
          <w:left w:w="57" w:type="dxa"/>
          <w:right w:w="57" w:type="dxa"/>
        </w:tblCellMar>
        <w:tblLook w:val="04A0" w:firstRow="1" w:lastRow="0" w:firstColumn="1" w:lastColumn="0" w:noHBand="0" w:noVBand="1"/>
      </w:tblPr>
      <w:tblGrid>
        <w:gridCol w:w="3178"/>
        <w:gridCol w:w="506"/>
        <w:gridCol w:w="506"/>
        <w:gridCol w:w="505"/>
        <w:gridCol w:w="505"/>
        <w:gridCol w:w="505"/>
        <w:gridCol w:w="505"/>
        <w:gridCol w:w="505"/>
        <w:gridCol w:w="505"/>
        <w:gridCol w:w="505"/>
        <w:gridCol w:w="505"/>
        <w:gridCol w:w="505"/>
        <w:gridCol w:w="452"/>
      </w:tblGrid>
      <w:tr w:rsidR="006239FD" w:rsidRPr="00D008D2" w:rsidTr="00663ABE">
        <w:tc>
          <w:tcPr>
            <w:tcW w:w="3178" w:type="dxa"/>
          </w:tcPr>
          <w:p w:rsidR="00526DA0" w:rsidRPr="00D008D2" w:rsidRDefault="00526DA0">
            <w:pPr>
              <w:overflowPunct/>
              <w:adjustRightInd/>
              <w:spacing w:line="288" w:lineRule="auto"/>
              <w:jc w:val="center"/>
              <w:textAlignment w:val="auto"/>
              <w:rPr>
                <w:rFonts w:ascii="Times New Roman" w:hAnsi="Times New Roman" w:cs="Times New Roman"/>
                <w:szCs w:val="22"/>
              </w:rPr>
            </w:pPr>
          </w:p>
        </w:tc>
        <w:tc>
          <w:tcPr>
            <w:tcW w:w="506"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Jan</w:t>
            </w:r>
          </w:p>
        </w:tc>
        <w:tc>
          <w:tcPr>
            <w:tcW w:w="506"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Feb</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Mar</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Apr</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May</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Jun</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Jul</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Aug</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Sep</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Oct</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Nov</w:t>
            </w:r>
          </w:p>
        </w:tc>
        <w:tc>
          <w:tcPr>
            <w:tcW w:w="452" w:type="dxa"/>
          </w:tcPr>
          <w:p w:rsidR="00526DA0" w:rsidRPr="00D008D2" w:rsidRDefault="00526DA0">
            <w:pPr>
              <w:overflowPunct/>
              <w:adjustRightInd/>
              <w:spacing w:line="288" w:lineRule="auto"/>
              <w:jc w:val="center"/>
              <w:textAlignment w:val="auto"/>
              <w:rPr>
                <w:rFonts w:ascii="Times New Roman" w:hAnsi="Times New Roman" w:cs="Times New Roman"/>
                <w:sz w:val="20"/>
              </w:rPr>
            </w:pPr>
            <w:r w:rsidRPr="00D008D2">
              <w:rPr>
                <w:rFonts w:ascii="Times New Roman" w:hAnsi="Times New Roman" w:cs="Times New Roman"/>
                <w:sz w:val="20"/>
              </w:rPr>
              <w:t>Dec</w:t>
            </w:r>
          </w:p>
        </w:tc>
      </w:tr>
      <w:tr w:rsidR="006239FD" w:rsidRPr="00D008D2" w:rsidTr="00663ABE">
        <w:trPr>
          <w:trHeight w:val="659"/>
        </w:trPr>
        <w:tc>
          <w:tcPr>
            <w:tcW w:w="3178" w:type="dxa"/>
          </w:tcPr>
          <w:p w:rsidR="00526DA0" w:rsidRPr="00D008D2" w:rsidRDefault="006844EF">
            <w:pPr>
              <w:overflowPunct/>
              <w:adjustRightInd/>
              <w:spacing w:line="288" w:lineRule="auto"/>
              <w:textAlignment w:val="auto"/>
              <w:rPr>
                <w:rFonts w:ascii="Times New Roman" w:hAnsi="Times New Roman" w:cs="Times New Roman"/>
                <w:szCs w:val="22"/>
              </w:rPr>
            </w:pPr>
            <w:r w:rsidRPr="00D008D2">
              <w:rPr>
                <w:rFonts w:ascii="Times New Roman" w:hAnsi="Times New Roman" w:cs="Times New Roman"/>
              </w:rPr>
              <w:t>T</w:t>
            </w:r>
            <w:r w:rsidR="00F837BD" w:rsidRPr="00D008D2">
              <w:rPr>
                <w:rFonts w:ascii="Times New Roman" w:hAnsi="Times New Roman" w:cs="Times New Roman"/>
              </w:rPr>
              <w:t xml:space="preserve">hematic </w:t>
            </w:r>
            <w:r w:rsidR="002C2D88" w:rsidRPr="00D008D2">
              <w:rPr>
                <w:rFonts w:ascii="Times New Roman" w:hAnsi="Times New Roman" w:cs="Times New Roman"/>
              </w:rPr>
              <w:t>s</w:t>
            </w:r>
            <w:r w:rsidR="00526DA0" w:rsidRPr="00D008D2">
              <w:rPr>
                <w:rFonts w:ascii="Times New Roman" w:hAnsi="Times New Roman" w:cs="Times New Roman"/>
              </w:rPr>
              <w:t xml:space="preserve">eminars </w:t>
            </w:r>
            <w:r w:rsidR="001173A6" w:rsidRPr="00D008D2">
              <w:rPr>
                <w:rFonts w:ascii="Times New Roman" w:hAnsi="Times New Roman" w:cs="Times New Roman"/>
              </w:rPr>
              <w:t xml:space="preserve">(TS) </w:t>
            </w:r>
            <w:r w:rsidR="00526DA0" w:rsidRPr="00D008D2">
              <w:rPr>
                <w:rFonts w:ascii="Times New Roman" w:hAnsi="Times New Roman" w:cs="Times New Roman"/>
              </w:rPr>
              <w:t>in Brussels (</w:t>
            </w:r>
            <w:r w:rsidR="00E96E1C" w:rsidRPr="00D008D2">
              <w:rPr>
                <w:rFonts w:ascii="Times New Roman" w:hAnsi="Times New Roman" w:cs="Times New Roman"/>
              </w:rPr>
              <w:t xml:space="preserve">two </w:t>
            </w:r>
            <w:r w:rsidR="00526DA0" w:rsidRPr="00D008D2">
              <w:rPr>
                <w:rFonts w:ascii="Times New Roman" w:hAnsi="Times New Roman" w:cs="Times New Roman"/>
              </w:rPr>
              <w:t>per year</w:t>
            </w:r>
            <w:r w:rsidR="00521619" w:rsidRPr="00D008D2">
              <w:rPr>
                <w:rFonts w:ascii="Times New Roman" w:hAnsi="Times New Roman" w:cs="Times New Roman"/>
              </w:rPr>
              <w:t xml:space="preserve">, one during the </w:t>
            </w:r>
            <w:r w:rsidRPr="00D008D2">
              <w:rPr>
                <w:rFonts w:ascii="Times New Roman" w:hAnsi="Times New Roman" w:cs="Times New Roman"/>
              </w:rPr>
              <w:t>European Week of Regions and Cities</w:t>
            </w:r>
            <w:r w:rsidR="00526DA0" w:rsidRPr="00D008D2">
              <w:rPr>
                <w:rFonts w:ascii="Times New Roman" w:hAnsi="Times New Roman" w:cs="Times New Roman"/>
              </w:rPr>
              <w:t>)</w:t>
            </w:r>
          </w:p>
        </w:tc>
        <w:tc>
          <w:tcPr>
            <w:tcW w:w="506"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6"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C70B69">
            <w:pPr>
              <w:overflowPunct/>
              <w:adjustRightInd/>
              <w:spacing w:line="288" w:lineRule="auto"/>
              <w:jc w:val="center"/>
              <w:textAlignment w:val="auto"/>
              <w:rPr>
                <w:rFonts w:ascii="Times New Roman" w:hAnsi="Times New Roman" w:cs="Times New Roman"/>
                <w:sz w:val="20"/>
                <w:vertAlign w:val="subscript"/>
              </w:rPr>
            </w:pPr>
            <w:r w:rsidRPr="00D008D2">
              <w:rPr>
                <w:rFonts w:ascii="Times New Roman" w:hAnsi="Times New Roman" w:cs="Times New Roman"/>
                <w:sz w:val="20"/>
                <w:vertAlign w:val="subscript"/>
              </w:rPr>
              <w:t>x</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E13556">
            <w:pPr>
              <w:overflowPunct/>
              <w:adjustRightInd/>
              <w:spacing w:line="288" w:lineRule="auto"/>
              <w:jc w:val="center"/>
              <w:textAlignment w:val="auto"/>
              <w:rPr>
                <w:rFonts w:ascii="Times New Roman" w:hAnsi="Times New Roman" w:cs="Times New Roman"/>
                <w:sz w:val="20"/>
                <w:vertAlign w:val="subscript"/>
              </w:rPr>
            </w:pPr>
            <w:r w:rsidRPr="00D008D2">
              <w:rPr>
                <w:rFonts w:ascii="Times New Roman" w:hAnsi="Times New Roman" w:cs="Times New Roman"/>
                <w:sz w:val="20"/>
                <w:vertAlign w:val="subscript"/>
              </w:rPr>
              <w:t>X</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452"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r>
      <w:tr w:rsidR="006239FD" w:rsidRPr="00D008D2" w:rsidTr="00663ABE">
        <w:tc>
          <w:tcPr>
            <w:tcW w:w="3178" w:type="dxa"/>
          </w:tcPr>
          <w:p w:rsidR="00526DA0" w:rsidRPr="00D008D2" w:rsidRDefault="006844EF">
            <w:pPr>
              <w:overflowPunct/>
              <w:adjustRightInd/>
              <w:spacing w:line="288" w:lineRule="auto"/>
              <w:textAlignment w:val="auto"/>
              <w:rPr>
                <w:rFonts w:ascii="Times New Roman" w:hAnsi="Times New Roman" w:cs="Times New Roman"/>
                <w:szCs w:val="22"/>
              </w:rPr>
            </w:pPr>
            <w:r w:rsidRPr="00D008D2">
              <w:rPr>
                <w:rFonts w:ascii="Times New Roman" w:hAnsi="Times New Roman" w:cs="Times New Roman"/>
              </w:rPr>
              <w:t>P</w:t>
            </w:r>
            <w:r w:rsidR="00526DA0" w:rsidRPr="00D008D2">
              <w:rPr>
                <w:rFonts w:ascii="Times New Roman" w:hAnsi="Times New Roman" w:cs="Times New Roman"/>
              </w:rPr>
              <w:t>eer-to-</w:t>
            </w:r>
            <w:r w:rsidR="002C2D88" w:rsidRPr="00D008D2">
              <w:rPr>
                <w:rFonts w:ascii="Times New Roman" w:hAnsi="Times New Roman" w:cs="Times New Roman"/>
              </w:rPr>
              <w:t>p</w:t>
            </w:r>
            <w:r w:rsidR="00F837BD" w:rsidRPr="00D008D2">
              <w:rPr>
                <w:rFonts w:ascii="Times New Roman" w:hAnsi="Times New Roman" w:cs="Times New Roman"/>
              </w:rPr>
              <w:t xml:space="preserve">eer </w:t>
            </w:r>
            <w:r w:rsidR="002C2D88" w:rsidRPr="00D008D2">
              <w:rPr>
                <w:rFonts w:ascii="Times New Roman" w:hAnsi="Times New Roman" w:cs="Times New Roman"/>
              </w:rPr>
              <w:t>e</w:t>
            </w:r>
            <w:r w:rsidRPr="00D008D2">
              <w:rPr>
                <w:rFonts w:ascii="Times New Roman" w:hAnsi="Times New Roman" w:cs="Times New Roman"/>
              </w:rPr>
              <w:t>vents (P2P)</w:t>
            </w:r>
            <w:r w:rsidR="00526DA0" w:rsidRPr="00D008D2">
              <w:rPr>
                <w:rFonts w:ascii="Times New Roman" w:hAnsi="Times New Roman" w:cs="Times New Roman"/>
              </w:rPr>
              <w:t xml:space="preserve"> </w:t>
            </w:r>
            <w:r w:rsidR="00521619" w:rsidRPr="00D008D2">
              <w:rPr>
                <w:rFonts w:ascii="Times New Roman" w:hAnsi="Times New Roman" w:cs="Times New Roman"/>
              </w:rPr>
              <w:t xml:space="preserve">in the regions </w:t>
            </w:r>
            <w:r w:rsidR="00526DA0" w:rsidRPr="00D008D2">
              <w:rPr>
                <w:rFonts w:ascii="Times New Roman" w:hAnsi="Times New Roman" w:cs="Times New Roman"/>
                <w:color w:val="000000" w:themeColor="text1"/>
              </w:rPr>
              <w:t>(</w:t>
            </w:r>
            <w:r w:rsidRPr="00D008D2">
              <w:rPr>
                <w:rFonts w:ascii="Times New Roman" w:hAnsi="Times New Roman" w:cs="Times New Roman"/>
                <w:color w:val="000000" w:themeColor="text1"/>
              </w:rPr>
              <w:t xml:space="preserve">max. </w:t>
            </w:r>
            <w:r w:rsidR="00E96E1C" w:rsidRPr="00D008D2">
              <w:rPr>
                <w:rFonts w:ascii="Times New Roman" w:hAnsi="Times New Roman" w:cs="Times New Roman"/>
                <w:color w:val="000000" w:themeColor="text1"/>
              </w:rPr>
              <w:t>four</w:t>
            </w:r>
            <w:r w:rsidR="00526DA0" w:rsidRPr="00D008D2">
              <w:rPr>
                <w:rFonts w:ascii="Times New Roman" w:hAnsi="Times New Roman" w:cs="Times New Roman"/>
                <w:color w:val="000000" w:themeColor="text1"/>
              </w:rPr>
              <w:t xml:space="preserve"> per year</w:t>
            </w:r>
            <w:r w:rsidRPr="00D008D2">
              <w:rPr>
                <w:rFonts w:ascii="Times New Roman" w:hAnsi="Times New Roman" w:cs="Times New Roman"/>
                <w:color w:val="000000" w:themeColor="text1"/>
              </w:rPr>
              <w:t xml:space="preserve">, subject to availability of </w:t>
            </w:r>
            <w:proofErr w:type="spellStart"/>
            <w:r w:rsidR="003D0BA6" w:rsidRPr="00D008D2">
              <w:rPr>
                <w:rFonts w:ascii="Times New Roman" w:hAnsi="Times New Roman" w:cs="Times New Roman"/>
                <w:color w:val="000000" w:themeColor="text1"/>
              </w:rPr>
              <w:t>CoR</w:t>
            </w:r>
            <w:proofErr w:type="spellEnd"/>
            <w:r w:rsidR="003D0BA6" w:rsidRPr="00D008D2">
              <w:rPr>
                <w:rFonts w:ascii="Times New Roman" w:hAnsi="Times New Roman" w:cs="Times New Roman"/>
                <w:color w:val="000000" w:themeColor="text1"/>
              </w:rPr>
              <w:t xml:space="preserve"> members and </w:t>
            </w:r>
            <w:r w:rsidRPr="00D008D2">
              <w:rPr>
                <w:rFonts w:ascii="Times New Roman" w:hAnsi="Times New Roman" w:cs="Times New Roman"/>
                <w:color w:val="000000" w:themeColor="text1"/>
              </w:rPr>
              <w:t>regions willing to organi</w:t>
            </w:r>
            <w:r w:rsidR="00E96E1C" w:rsidRPr="00D008D2">
              <w:rPr>
                <w:rFonts w:ascii="Times New Roman" w:hAnsi="Times New Roman" w:cs="Times New Roman"/>
                <w:color w:val="000000" w:themeColor="text1"/>
              </w:rPr>
              <w:t>s</w:t>
            </w:r>
            <w:r w:rsidRPr="00D008D2">
              <w:rPr>
                <w:rFonts w:ascii="Times New Roman" w:hAnsi="Times New Roman" w:cs="Times New Roman"/>
                <w:color w:val="000000" w:themeColor="text1"/>
              </w:rPr>
              <w:t>e them</w:t>
            </w:r>
            <w:r w:rsidR="00526DA0" w:rsidRPr="00D008D2">
              <w:rPr>
                <w:rFonts w:ascii="Times New Roman" w:hAnsi="Times New Roman" w:cs="Times New Roman"/>
                <w:color w:val="000000" w:themeColor="text1"/>
              </w:rPr>
              <w:t>)</w:t>
            </w:r>
          </w:p>
        </w:tc>
        <w:tc>
          <w:tcPr>
            <w:tcW w:w="506"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6"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3D0BA6">
            <w:pPr>
              <w:overflowPunct/>
              <w:adjustRightInd/>
              <w:spacing w:line="288" w:lineRule="auto"/>
              <w:jc w:val="center"/>
              <w:textAlignment w:val="auto"/>
              <w:rPr>
                <w:rFonts w:ascii="Times New Roman" w:hAnsi="Times New Roman" w:cs="Times New Roman"/>
                <w:sz w:val="20"/>
                <w:vertAlign w:val="subscript"/>
              </w:rPr>
            </w:pPr>
            <w:r w:rsidRPr="00D008D2">
              <w:rPr>
                <w:rFonts w:ascii="Times New Roman" w:hAnsi="Times New Roman" w:cs="Times New Roman"/>
                <w:sz w:val="20"/>
                <w:vertAlign w:val="subscript"/>
              </w:rPr>
              <w:t>X</w:t>
            </w:r>
          </w:p>
        </w:tc>
        <w:tc>
          <w:tcPr>
            <w:tcW w:w="505" w:type="dxa"/>
          </w:tcPr>
          <w:p w:rsidR="00526DA0" w:rsidRPr="00D008D2" w:rsidRDefault="00985AD3">
            <w:pPr>
              <w:overflowPunct/>
              <w:adjustRightInd/>
              <w:spacing w:line="288" w:lineRule="auto"/>
              <w:jc w:val="center"/>
              <w:textAlignment w:val="auto"/>
              <w:rPr>
                <w:rFonts w:ascii="Times New Roman" w:hAnsi="Times New Roman" w:cs="Times New Roman"/>
                <w:sz w:val="20"/>
                <w:vertAlign w:val="subscript"/>
              </w:rPr>
            </w:pPr>
            <w:r w:rsidRPr="00D008D2">
              <w:rPr>
                <w:rFonts w:ascii="Times New Roman" w:hAnsi="Times New Roman" w:cs="Times New Roman"/>
                <w:sz w:val="20"/>
                <w:vertAlign w:val="subscript"/>
              </w:rPr>
              <w:t>X</w:t>
            </w: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526DA0">
            <w:pPr>
              <w:overflowPunct/>
              <w:adjustRightInd/>
              <w:spacing w:line="288" w:lineRule="auto"/>
              <w:jc w:val="center"/>
              <w:textAlignment w:val="auto"/>
              <w:rPr>
                <w:rFonts w:ascii="Times New Roman" w:hAnsi="Times New Roman" w:cs="Times New Roman"/>
                <w:sz w:val="20"/>
                <w:vertAlign w:val="subscript"/>
              </w:rPr>
            </w:pPr>
          </w:p>
        </w:tc>
        <w:tc>
          <w:tcPr>
            <w:tcW w:w="505" w:type="dxa"/>
          </w:tcPr>
          <w:p w:rsidR="00526DA0" w:rsidRPr="00D008D2" w:rsidRDefault="00EE62AF">
            <w:pPr>
              <w:overflowPunct/>
              <w:adjustRightInd/>
              <w:spacing w:line="288" w:lineRule="auto"/>
              <w:jc w:val="center"/>
              <w:textAlignment w:val="auto"/>
              <w:rPr>
                <w:rFonts w:ascii="Times New Roman" w:hAnsi="Times New Roman" w:cs="Times New Roman"/>
                <w:sz w:val="20"/>
                <w:vertAlign w:val="subscript"/>
              </w:rPr>
            </w:pPr>
            <w:r w:rsidRPr="00D008D2">
              <w:rPr>
                <w:rFonts w:ascii="Times New Roman" w:hAnsi="Times New Roman" w:cs="Times New Roman"/>
                <w:sz w:val="20"/>
                <w:vertAlign w:val="subscript"/>
              </w:rPr>
              <w:t>X</w:t>
            </w:r>
          </w:p>
        </w:tc>
        <w:tc>
          <w:tcPr>
            <w:tcW w:w="452" w:type="dxa"/>
          </w:tcPr>
          <w:p w:rsidR="00526DA0" w:rsidRPr="00D008D2" w:rsidRDefault="003D0BA6">
            <w:pPr>
              <w:overflowPunct/>
              <w:adjustRightInd/>
              <w:spacing w:line="288" w:lineRule="auto"/>
              <w:jc w:val="center"/>
              <w:textAlignment w:val="auto"/>
              <w:rPr>
                <w:rFonts w:ascii="Times New Roman" w:hAnsi="Times New Roman" w:cs="Times New Roman"/>
                <w:sz w:val="20"/>
                <w:vertAlign w:val="subscript"/>
              </w:rPr>
            </w:pPr>
            <w:r w:rsidRPr="00D008D2">
              <w:rPr>
                <w:rFonts w:ascii="Times New Roman" w:hAnsi="Times New Roman" w:cs="Times New Roman"/>
                <w:sz w:val="20"/>
                <w:vertAlign w:val="subscript"/>
              </w:rPr>
              <w:t>X</w:t>
            </w:r>
          </w:p>
        </w:tc>
      </w:tr>
      <w:tr w:rsidR="006844EF" w:rsidRPr="00D008D2" w:rsidDel="00C832EB" w:rsidTr="00663ABE">
        <w:trPr>
          <w:trHeight w:val="961"/>
        </w:trPr>
        <w:tc>
          <w:tcPr>
            <w:tcW w:w="9187" w:type="dxa"/>
            <w:gridSpan w:val="13"/>
            <w:vAlign w:val="center"/>
          </w:tcPr>
          <w:p w:rsidR="006844EF" w:rsidRPr="00D008D2" w:rsidDel="00C832EB" w:rsidRDefault="006844EF" w:rsidP="00C436DF">
            <w:pPr>
              <w:overflowPunct/>
              <w:adjustRightInd/>
              <w:spacing w:line="288" w:lineRule="auto"/>
              <w:jc w:val="both"/>
              <w:textAlignment w:val="auto"/>
              <w:rPr>
                <w:rFonts w:ascii="Times New Roman" w:hAnsi="Times New Roman" w:cs="Times New Roman"/>
                <w:szCs w:val="22"/>
                <w:vertAlign w:val="subscript"/>
              </w:rPr>
            </w:pPr>
            <w:r w:rsidRPr="00D008D2">
              <w:rPr>
                <w:rFonts w:ascii="Times New Roman" w:hAnsi="Times New Roman" w:cs="Times New Roman"/>
              </w:rPr>
              <w:t xml:space="preserve">Showcasing </w:t>
            </w:r>
            <w:r w:rsidR="00E96E1C" w:rsidRPr="00D008D2">
              <w:rPr>
                <w:rFonts w:ascii="Times New Roman" w:hAnsi="Times New Roman" w:cs="Times New Roman"/>
              </w:rPr>
              <w:t>e</w:t>
            </w:r>
            <w:r w:rsidRPr="00D008D2">
              <w:rPr>
                <w:rFonts w:ascii="Times New Roman" w:hAnsi="Times New Roman" w:cs="Times New Roman"/>
              </w:rPr>
              <w:t xml:space="preserve">vents </w:t>
            </w:r>
            <w:r w:rsidR="001173A6" w:rsidRPr="00D008D2">
              <w:rPr>
                <w:rFonts w:ascii="Times New Roman" w:hAnsi="Times New Roman" w:cs="Times New Roman"/>
              </w:rPr>
              <w:t xml:space="preserve">(SE) </w:t>
            </w:r>
            <w:r w:rsidRPr="00D008D2">
              <w:rPr>
                <w:rFonts w:ascii="Times New Roman" w:hAnsi="Times New Roman" w:cs="Times New Roman"/>
              </w:rPr>
              <w:t xml:space="preserve">as agreed with partners, times </w:t>
            </w:r>
            <w:r w:rsidR="00C436DF">
              <w:rPr>
                <w:rFonts w:ascii="Times New Roman" w:hAnsi="Times New Roman" w:cs="Times New Roman"/>
              </w:rPr>
              <w:t>and</w:t>
            </w:r>
            <w:r w:rsidRPr="00D008D2">
              <w:rPr>
                <w:rFonts w:ascii="Times New Roman" w:hAnsi="Times New Roman" w:cs="Times New Roman"/>
                <w:color w:val="000000" w:themeColor="text1"/>
              </w:rPr>
              <w:t xml:space="preserve"> number subject to mutual agreement and budget constraints (allocated flexibly during the year depending on availability)</w:t>
            </w:r>
            <w:r w:rsidR="00E96E1C" w:rsidRPr="00D008D2">
              <w:rPr>
                <w:rFonts w:ascii="Times New Roman" w:hAnsi="Times New Roman" w:cs="Times New Roman"/>
                <w:color w:val="000000" w:themeColor="text1"/>
              </w:rPr>
              <w:t>.</w:t>
            </w:r>
          </w:p>
        </w:tc>
      </w:tr>
      <w:tr w:rsidR="006844EF" w:rsidRPr="00D008D2" w:rsidDel="00C832EB" w:rsidTr="00663ABE">
        <w:trPr>
          <w:trHeight w:val="696"/>
        </w:trPr>
        <w:tc>
          <w:tcPr>
            <w:tcW w:w="9187" w:type="dxa"/>
            <w:gridSpan w:val="13"/>
            <w:vAlign w:val="center"/>
          </w:tcPr>
          <w:p w:rsidR="006844EF" w:rsidRPr="00D008D2" w:rsidDel="00C832EB" w:rsidRDefault="006844EF">
            <w:pPr>
              <w:overflowPunct/>
              <w:adjustRightInd/>
              <w:jc w:val="both"/>
              <w:textAlignment w:val="auto"/>
              <w:rPr>
                <w:rFonts w:ascii="Times New Roman" w:hAnsi="Times New Roman" w:cs="Times New Roman"/>
                <w:szCs w:val="22"/>
                <w:vertAlign w:val="subscript"/>
              </w:rPr>
            </w:pPr>
            <w:r w:rsidRPr="00D008D2">
              <w:rPr>
                <w:rFonts w:ascii="Times New Roman" w:hAnsi="Times New Roman" w:cs="Times New Roman"/>
                <w:color w:val="000000" w:themeColor="text1"/>
              </w:rPr>
              <w:t xml:space="preserve">Political </w:t>
            </w:r>
            <w:r w:rsidR="002C2D88" w:rsidRPr="00D008D2">
              <w:rPr>
                <w:rFonts w:ascii="Times New Roman" w:hAnsi="Times New Roman" w:cs="Times New Roman"/>
                <w:color w:val="000000" w:themeColor="text1"/>
              </w:rPr>
              <w:t>d</w:t>
            </w:r>
            <w:r w:rsidRPr="00D008D2">
              <w:rPr>
                <w:rFonts w:ascii="Times New Roman" w:hAnsi="Times New Roman" w:cs="Times New Roman"/>
                <w:color w:val="000000" w:themeColor="text1"/>
              </w:rPr>
              <w:t>ialogue to summari</w:t>
            </w:r>
            <w:r w:rsidR="00E96E1C" w:rsidRPr="00D008D2">
              <w:rPr>
                <w:rFonts w:ascii="Times New Roman" w:hAnsi="Times New Roman" w:cs="Times New Roman"/>
                <w:color w:val="000000" w:themeColor="text1"/>
              </w:rPr>
              <w:t>s</w:t>
            </w:r>
            <w:r w:rsidRPr="00D008D2">
              <w:rPr>
                <w:rFonts w:ascii="Times New Roman" w:hAnsi="Times New Roman" w:cs="Times New Roman"/>
                <w:color w:val="000000" w:themeColor="text1"/>
              </w:rPr>
              <w:t xml:space="preserve">e the achievements of the first years of the KEP </w:t>
            </w:r>
            <w:r w:rsidR="00C70B69" w:rsidRPr="00D008D2">
              <w:rPr>
                <w:rFonts w:ascii="Times New Roman" w:hAnsi="Times New Roman" w:cs="Times New Roman"/>
                <w:color w:val="000000" w:themeColor="text1"/>
              </w:rPr>
              <w:t>i</w:t>
            </w:r>
            <w:r w:rsidRPr="00D008D2">
              <w:rPr>
                <w:rFonts w:ascii="Times New Roman" w:hAnsi="Times New Roman" w:cs="Times New Roman"/>
                <w:color w:val="000000" w:themeColor="text1"/>
              </w:rPr>
              <w:t>n 2018</w:t>
            </w:r>
            <w:r w:rsidR="00E96E1C" w:rsidRPr="00D008D2">
              <w:rPr>
                <w:rFonts w:ascii="Times New Roman" w:hAnsi="Times New Roman" w:cs="Times New Roman"/>
                <w:color w:val="000000" w:themeColor="text1"/>
              </w:rPr>
              <w:t>.</w:t>
            </w:r>
          </w:p>
        </w:tc>
      </w:tr>
    </w:tbl>
    <w:p w:rsidR="00E17981" w:rsidRPr="00D008D2" w:rsidRDefault="00E17981">
      <w:pPr>
        <w:overflowPunct/>
        <w:adjustRightInd/>
        <w:textAlignment w:val="auto"/>
      </w:pPr>
    </w:p>
    <w:p w:rsidR="00345B78" w:rsidRDefault="00345B78">
      <w:pPr>
        <w:jc w:val="center"/>
        <w:rPr>
          <w:lang w:val="nl-BE"/>
        </w:rPr>
      </w:pPr>
      <w:r>
        <w:rPr>
          <w:lang w:val="nl-BE"/>
        </w:rPr>
        <w:t>_____________</w:t>
      </w:r>
    </w:p>
    <w:p w:rsidR="00345B78" w:rsidRPr="00AE57B9" w:rsidRDefault="00345B78">
      <w:pPr>
        <w:rPr>
          <w:lang w:val="nl-BE"/>
        </w:rPr>
      </w:pPr>
    </w:p>
    <w:sectPr w:rsidR="00345B78" w:rsidRPr="00AE57B9" w:rsidSect="00893B09">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0F" w:rsidRDefault="00B0660F">
      <w:r>
        <w:separator/>
      </w:r>
    </w:p>
  </w:endnote>
  <w:endnote w:type="continuationSeparator" w:id="0">
    <w:p w:rsidR="00B0660F" w:rsidRDefault="00B0660F">
      <w:r>
        <w:continuationSeparator/>
      </w:r>
    </w:p>
  </w:endnote>
  <w:endnote w:type="continuationNotice" w:id="1">
    <w:p w:rsidR="00B0660F" w:rsidRDefault="00B066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09" w:rsidRPr="00893B09" w:rsidRDefault="00893B09" w:rsidP="00893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8" w:rsidRPr="00893B09" w:rsidRDefault="00893B09" w:rsidP="00893B09">
    <w:pPr>
      <w:pStyle w:val="Footer"/>
    </w:pPr>
    <w:r>
      <w:t xml:space="preserve">COR-2018-00441-00-01-TCD-TRA (EN) </w:t>
    </w:r>
    <w:r>
      <w:fldChar w:fldCharType="begin"/>
    </w:r>
    <w:r>
      <w:instrText xml:space="preserve"> PAGE  \* Arabic  \* MERGEFORMAT </w:instrText>
    </w:r>
    <w:r>
      <w:fldChar w:fldCharType="separate"/>
    </w:r>
    <w:r w:rsidR="009F21A4">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9F21A4">
      <w:rPr>
        <w:noProof/>
      </w:rPr>
      <w:instrText>6</w:instrText>
    </w:r>
    <w:r>
      <w:fldChar w:fldCharType="end"/>
    </w:r>
    <w:r>
      <w:instrText xml:space="preserve"> </w:instrText>
    </w:r>
    <w:r>
      <w:fldChar w:fldCharType="separate"/>
    </w:r>
    <w:r w:rsidR="009F21A4">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09" w:rsidRPr="00893B09" w:rsidRDefault="00893B09" w:rsidP="00893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0F" w:rsidRDefault="00B0660F">
      <w:r>
        <w:separator/>
      </w:r>
    </w:p>
  </w:footnote>
  <w:footnote w:type="continuationSeparator" w:id="0">
    <w:p w:rsidR="00B0660F" w:rsidRDefault="00B0660F">
      <w:r>
        <w:continuationSeparator/>
      </w:r>
    </w:p>
  </w:footnote>
  <w:footnote w:type="continuationNotice" w:id="1">
    <w:p w:rsidR="00B0660F" w:rsidRPr="00C775EC" w:rsidRDefault="00B0660F">
      <w:pPr>
        <w:spacing w:line="240" w:lineRule="auto"/>
        <w:rPr>
          <w:sz w:val="2"/>
          <w:szCs w:val="2"/>
        </w:rPr>
      </w:pPr>
    </w:p>
  </w:footnote>
  <w:footnote w:id="2">
    <w:p w:rsidR="00D114D0" w:rsidRPr="00D008D2" w:rsidRDefault="00D114D0" w:rsidP="00D008D2">
      <w:pPr>
        <w:pStyle w:val="FootnoteText"/>
        <w:rPr>
          <w:color w:val="000000"/>
        </w:rPr>
      </w:pPr>
      <w:r w:rsidRPr="00D008D2">
        <w:rPr>
          <w:rStyle w:val="FootnoteReference"/>
        </w:rPr>
        <w:footnoteRef/>
      </w:r>
      <w:r w:rsidRPr="00D008D2">
        <w:rPr>
          <w:rStyle w:val="FootnoteReference"/>
        </w:rPr>
        <w:t xml:space="preserve"> </w:t>
      </w:r>
      <w:r w:rsidR="00D008D2">
        <w:rPr>
          <w:color w:val="000000"/>
        </w:rPr>
        <w:tab/>
      </w:r>
      <w:r w:rsidRPr="00D008D2">
        <w:rPr>
          <w:color w:val="000000"/>
        </w:rPr>
        <w:t>COM(2017) 198 final and SWD(2017) 139 final</w:t>
      </w:r>
    </w:p>
  </w:footnote>
  <w:footnote w:id="3">
    <w:p w:rsidR="00646E67" w:rsidRPr="00D008D2" w:rsidRDefault="00646E67" w:rsidP="00D008D2">
      <w:pPr>
        <w:pStyle w:val="FootnoteText"/>
      </w:pPr>
      <w:r w:rsidRPr="00D008D2">
        <w:rPr>
          <w:rStyle w:val="FootnoteReference"/>
        </w:rPr>
        <w:footnoteRef/>
      </w:r>
      <w:r w:rsidRPr="00D008D2">
        <w:rPr>
          <w:rStyle w:val="FootnoteReference"/>
        </w:rPr>
        <w:t xml:space="preserve"> </w:t>
      </w:r>
      <w:r w:rsidR="00D008D2">
        <w:tab/>
      </w:r>
      <w:r w:rsidRPr="00D008D2">
        <w:t>Nature Directives: Birds Directive and Habitats Directive.</w:t>
      </w:r>
    </w:p>
  </w:footnote>
  <w:footnote w:id="4">
    <w:p w:rsidR="006714BD" w:rsidRPr="006714BD" w:rsidRDefault="006714BD">
      <w:pPr>
        <w:pStyle w:val="FootnoteText"/>
      </w:pPr>
      <w:r>
        <w:rPr>
          <w:rStyle w:val="FootnoteReference"/>
        </w:rPr>
        <w:footnoteRef/>
      </w:r>
      <w:r>
        <w:t xml:space="preserve"> </w:t>
      </w:r>
      <w:r>
        <w:tab/>
      </w:r>
      <w:r w:rsidRPr="006714BD">
        <w:t>This section is part of the priority area "Protecting and leveraging the value of our natural and cultural assets" under Societal Challenge 5</w:t>
      </w:r>
      <w:r w:rsidR="00C436DF">
        <w:t>,</w:t>
      </w:r>
      <w:r w:rsidRPr="006714BD">
        <w:t xml:space="preserve"> "Climate action, environment, resource efficiency and raw materials"</w:t>
      </w:r>
      <w:r w:rsidR="00C436DF">
        <w:t>,</w:t>
      </w:r>
      <w:r w:rsidRPr="006714BD">
        <w:t xml:space="preserve"> of Horizon 2020 and is a topic under the call for proposals in 2018-2020</w:t>
      </w:r>
      <w:r>
        <w:t>.</w:t>
      </w:r>
    </w:p>
  </w:footnote>
  <w:footnote w:id="5">
    <w:p w:rsidR="00D54640" w:rsidRPr="00D008D2" w:rsidRDefault="00D54640" w:rsidP="00D008D2">
      <w:pPr>
        <w:pStyle w:val="FootnoteText"/>
      </w:pPr>
      <w:r w:rsidRPr="00D008D2">
        <w:rPr>
          <w:rStyle w:val="FootnoteReference"/>
        </w:rPr>
        <w:footnoteRef/>
      </w:r>
      <w:r w:rsidRPr="00D008D2">
        <w:rPr>
          <w:rStyle w:val="FootnoteReference"/>
        </w:rPr>
        <w:t xml:space="preserve"> </w:t>
      </w:r>
      <w:r w:rsidR="00D008D2">
        <w:tab/>
      </w:r>
      <w:r w:rsidRPr="00D008D2">
        <w:t>2018 is the European Year of Cultural Heritage</w:t>
      </w:r>
    </w:p>
  </w:footnote>
  <w:footnote w:id="6">
    <w:p w:rsidR="006714BD" w:rsidRPr="006714BD" w:rsidRDefault="006714BD">
      <w:pPr>
        <w:pStyle w:val="FootnoteText"/>
      </w:pPr>
      <w:r>
        <w:rPr>
          <w:rStyle w:val="FootnoteReference"/>
        </w:rPr>
        <w:footnoteRef/>
      </w:r>
      <w:r>
        <w:t xml:space="preserve"> </w:t>
      </w:r>
      <w:r>
        <w:tab/>
      </w:r>
      <w:r w:rsidRPr="006714BD">
        <w:t>This section is a call for proposals in 2018-2020 under the Societal Challenge 6 "Europe in a changing world – Inclusive, innovative and reflective societies" of Horizon 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09" w:rsidRPr="00893B09" w:rsidRDefault="00893B09" w:rsidP="00893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F2" w:rsidRPr="00893B09" w:rsidRDefault="007549F2" w:rsidP="00893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09" w:rsidRPr="00893B09" w:rsidRDefault="00893B09" w:rsidP="00893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4"/>
    <w:multiLevelType w:val="singleLevel"/>
    <w:tmpl w:val="00000004"/>
    <w:name w:val="WW8Num11"/>
    <w:lvl w:ilvl="0">
      <w:start w:val="1"/>
      <w:numFmt w:val="decimal"/>
      <w:lvlText w:val="%1."/>
      <w:lvlJc w:val="left"/>
      <w:pPr>
        <w:tabs>
          <w:tab w:val="num" w:pos="0"/>
        </w:tabs>
        <w:ind w:left="0" w:firstLine="0"/>
      </w:pPr>
      <w:rPr>
        <w:rFonts w:cs="Times New Roman"/>
      </w:rPr>
    </w:lvl>
  </w:abstractNum>
  <w:abstractNum w:abstractNumId="2">
    <w:nsid w:val="017F118D"/>
    <w:multiLevelType w:val="singleLevel"/>
    <w:tmpl w:val="9522B250"/>
    <w:lvl w:ilvl="0">
      <w:start w:val="1"/>
      <w:numFmt w:val="decimal"/>
      <w:lvlText w:val="%1."/>
      <w:lvlJc w:val="left"/>
      <w:pPr>
        <w:ind w:left="720" w:hanging="360"/>
      </w:pPr>
    </w:lvl>
  </w:abstractNum>
  <w:abstractNum w:abstractNumId="3">
    <w:nsid w:val="071E2F54"/>
    <w:multiLevelType w:val="singleLevel"/>
    <w:tmpl w:val="4FA032DA"/>
    <w:lvl w:ilvl="0">
      <w:start w:val="1"/>
      <w:numFmt w:val="bullet"/>
      <w:lvlText w:val=""/>
      <w:lvlJc w:val="left"/>
      <w:pPr>
        <w:ind w:left="720" w:hanging="360"/>
      </w:pPr>
      <w:rPr>
        <w:rFonts w:ascii="Symbol" w:hAnsi="Symbol" w:hint="default"/>
      </w:rPr>
    </w:lvl>
  </w:abstractNum>
  <w:abstractNum w:abstractNumId="4">
    <w:nsid w:val="09DC7273"/>
    <w:multiLevelType w:val="hybridMultilevel"/>
    <w:tmpl w:val="EE5E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0325F6"/>
    <w:multiLevelType w:val="hybridMultilevel"/>
    <w:tmpl w:val="2A185DB4"/>
    <w:lvl w:ilvl="0" w:tplc="08090001">
      <w:start w:val="1"/>
      <w:numFmt w:val="bullet"/>
      <w:lvlText w:val=""/>
      <w:lvlJc w:val="left"/>
      <w:pPr>
        <w:ind w:left="360" w:hanging="360"/>
      </w:pPr>
      <w:rPr>
        <w:rFonts w:ascii="Symbol" w:hAnsi="Symbol" w:hint="default"/>
      </w:rPr>
    </w:lvl>
    <w:lvl w:ilvl="1" w:tplc="24B237DC">
      <w:start w:val="70"/>
      <w:numFmt w:val="bullet"/>
      <w:lvlText w:val="•"/>
      <w:lvlJc w:val="left"/>
      <w:pPr>
        <w:ind w:left="1440" w:hanging="72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3640EC"/>
    <w:multiLevelType w:val="hybridMultilevel"/>
    <w:tmpl w:val="CC8C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8043C"/>
    <w:multiLevelType w:val="hybridMultilevel"/>
    <w:tmpl w:val="423E91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A3E624E"/>
    <w:multiLevelType w:val="hybridMultilevel"/>
    <w:tmpl w:val="5210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D5BAD"/>
    <w:multiLevelType w:val="hybridMultilevel"/>
    <w:tmpl w:val="89B68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604E4A"/>
    <w:multiLevelType w:val="hybridMultilevel"/>
    <w:tmpl w:val="4E3A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5F283D"/>
    <w:multiLevelType w:val="hybridMultilevel"/>
    <w:tmpl w:val="BAF8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91C5E"/>
    <w:multiLevelType w:val="hybridMultilevel"/>
    <w:tmpl w:val="D8082C56"/>
    <w:lvl w:ilvl="0" w:tplc="C77EBC5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5E67AB2"/>
    <w:multiLevelType w:val="hybridMultilevel"/>
    <w:tmpl w:val="9ABA37EC"/>
    <w:lvl w:ilvl="0" w:tplc="080C0001">
      <w:start w:val="1"/>
      <w:numFmt w:val="bullet"/>
      <w:lvlText w:val=""/>
      <w:lvlJc w:val="left"/>
      <w:pPr>
        <w:ind w:left="720" w:hanging="360"/>
      </w:pPr>
      <w:rPr>
        <w:rFonts w:ascii="Symbol" w:hAnsi="Symbol" w:hint="default"/>
      </w:rPr>
    </w:lvl>
    <w:lvl w:ilvl="1" w:tplc="E672302A">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2643C14"/>
    <w:multiLevelType w:val="hybridMultilevel"/>
    <w:tmpl w:val="DF6CC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4B6342A"/>
    <w:multiLevelType w:val="hybridMultilevel"/>
    <w:tmpl w:val="9522B2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BE0166"/>
    <w:multiLevelType w:val="hybridMultilevel"/>
    <w:tmpl w:val="C49E8B8A"/>
    <w:lvl w:ilvl="0" w:tplc="EF5E68C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6106BF"/>
    <w:multiLevelType w:val="hybridMultilevel"/>
    <w:tmpl w:val="4FA032D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57714"/>
    <w:multiLevelType w:val="hybridMultilevel"/>
    <w:tmpl w:val="2ADCA8CA"/>
    <w:lvl w:ilvl="0" w:tplc="1B1097A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F2DD1"/>
    <w:multiLevelType w:val="hybridMultilevel"/>
    <w:tmpl w:val="852435F6"/>
    <w:lvl w:ilvl="0" w:tplc="08090001">
      <w:start w:val="1"/>
      <w:numFmt w:val="bullet"/>
      <w:lvlText w:val=""/>
      <w:lvlJc w:val="left"/>
      <w:pPr>
        <w:ind w:left="360" w:hanging="360"/>
      </w:pPr>
      <w:rPr>
        <w:rFonts w:ascii="Symbol" w:hAnsi="Symbol" w:hint="default"/>
      </w:rPr>
    </w:lvl>
    <w:lvl w:ilvl="1" w:tplc="E672302A">
      <w:numFmt w:val="bullet"/>
      <w:lvlText w:val="•"/>
      <w:lvlJc w:val="left"/>
      <w:pPr>
        <w:ind w:left="1440" w:hanging="72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F32874"/>
    <w:multiLevelType w:val="hybridMultilevel"/>
    <w:tmpl w:val="4F2A980A"/>
    <w:lvl w:ilvl="0" w:tplc="C3D672AE">
      <w:start w:val="70"/>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9375F9"/>
    <w:multiLevelType w:val="hybridMultilevel"/>
    <w:tmpl w:val="4B0EAAA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5A21645E"/>
    <w:multiLevelType w:val="hybridMultilevel"/>
    <w:tmpl w:val="B4CEE748"/>
    <w:lvl w:ilvl="0" w:tplc="04070001">
      <w:start w:val="1"/>
      <w:numFmt w:val="bullet"/>
      <w:lvlText w:val=""/>
      <w:lvlJc w:val="left"/>
      <w:pPr>
        <w:ind w:left="-1110" w:hanging="360"/>
      </w:pPr>
      <w:rPr>
        <w:rFonts w:ascii="Symbol" w:hAnsi="Symbol" w:hint="default"/>
      </w:rPr>
    </w:lvl>
    <w:lvl w:ilvl="1" w:tplc="04070003" w:tentative="1">
      <w:start w:val="1"/>
      <w:numFmt w:val="bullet"/>
      <w:lvlText w:val="o"/>
      <w:lvlJc w:val="left"/>
      <w:pPr>
        <w:ind w:left="-390" w:hanging="360"/>
      </w:pPr>
      <w:rPr>
        <w:rFonts w:ascii="Courier New" w:hAnsi="Courier New" w:cs="Courier New" w:hint="default"/>
      </w:rPr>
    </w:lvl>
    <w:lvl w:ilvl="2" w:tplc="04070005" w:tentative="1">
      <w:start w:val="1"/>
      <w:numFmt w:val="bullet"/>
      <w:lvlText w:val=""/>
      <w:lvlJc w:val="left"/>
      <w:pPr>
        <w:ind w:left="330" w:hanging="360"/>
      </w:pPr>
      <w:rPr>
        <w:rFonts w:ascii="Wingdings" w:hAnsi="Wingdings" w:hint="default"/>
      </w:rPr>
    </w:lvl>
    <w:lvl w:ilvl="3" w:tplc="04070001" w:tentative="1">
      <w:start w:val="1"/>
      <w:numFmt w:val="bullet"/>
      <w:lvlText w:val=""/>
      <w:lvlJc w:val="left"/>
      <w:pPr>
        <w:ind w:left="1050" w:hanging="360"/>
      </w:pPr>
      <w:rPr>
        <w:rFonts w:ascii="Symbol" w:hAnsi="Symbol" w:hint="default"/>
      </w:rPr>
    </w:lvl>
    <w:lvl w:ilvl="4" w:tplc="04070003" w:tentative="1">
      <w:start w:val="1"/>
      <w:numFmt w:val="bullet"/>
      <w:lvlText w:val="o"/>
      <w:lvlJc w:val="left"/>
      <w:pPr>
        <w:ind w:left="1770" w:hanging="360"/>
      </w:pPr>
      <w:rPr>
        <w:rFonts w:ascii="Courier New" w:hAnsi="Courier New" w:cs="Courier New" w:hint="default"/>
      </w:rPr>
    </w:lvl>
    <w:lvl w:ilvl="5" w:tplc="04070005" w:tentative="1">
      <w:start w:val="1"/>
      <w:numFmt w:val="bullet"/>
      <w:lvlText w:val=""/>
      <w:lvlJc w:val="left"/>
      <w:pPr>
        <w:ind w:left="2490" w:hanging="360"/>
      </w:pPr>
      <w:rPr>
        <w:rFonts w:ascii="Wingdings" w:hAnsi="Wingdings" w:hint="default"/>
      </w:rPr>
    </w:lvl>
    <w:lvl w:ilvl="6" w:tplc="04070001" w:tentative="1">
      <w:start w:val="1"/>
      <w:numFmt w:val="bullet"/>
      <w:lvlText w:val=""/>
      <w:lvlJc w:val="left"/>
      <w:pPr>
        <w:ind w:left="3210" w:hanging="360"/>
      </w:pPr>
      <w:rPr>
        <w:rFonts w:ascii="Symbol" w:hAnsi="Symbol" w:hint="default"/>
      </w:rPr>
    </w:lvl>
    <w:lvl w:ilvl="7" w:tplc="04070003" w:tentative="1">
      <w:start w:val="1"/>
      <w:numFmt w:val="bullet"/>
      <w:lvlText w:val="o"/>
      <w:lvlJc w:val="left"/>
      <w:pPr>
        <w:ind w:left="3930" w:hanging="360"/>
      </w:pPr>
      <w:rPr>
        <w:rFonts w:ascii="Courier New" w:hAnsi="Courier New" w:cs="Courier New" w:hint="default"/>
      </w:rPr>
    </w:lvl>
    <w:lvl w:ilvl="8" w:tplc="04070005" w:tentative="1">
      <w:start w:val="1"/>
      <w:numFmt w:val="bullet"/>
      <w:lvlText w:val=""/>
      <w:lvlJc w:val="left"/>
      <w:pPr>
        <w:ind w:left="4650" w:hanging="360"/>
      </w:pPr>
      <w:rPr>
        <w:rFonts w:ascii="Wingdings" w:hAnsi="Wingdings" w:hint="default"/>
      </w:rPr>
    </w:lvl>
  </w:abstractNum>
  <w:abstractNum w:abstractNumId="23">
    <w:nsid w:val="62576244"/>
    <w:multiLevelType w:val="hybridMultilevel"/>
    <w:tmpl w:val="105AC722"/>
    <w:lvl w:ilvl="0" w:tplc="080C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nsid w:val="68AF3CAA"/>
    <w:multiLevelType w:val="hybridMultilevel"/>
    <w:tmpl w:val="5EA078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D73AD9"/>
    <w:multiLevelType w:val="hybridMultilevel"/>
    <w:tmpl w:val="A0D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231C68"/>
    <w:multiLevelType w:val="hybridMultilevel"/>
    <w:tmpl w:val="EA9C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A3F5F"/>
    <w:multiLevelType w:val="singleLevel"/>
    <w:tmpl w:val="9522B250"/>
    <w:lvl w:ilvl="0">
      <w:start w:val="1"/>
      <w:numFmt w:val="decimal"/>
      <w:lvlText w:val="%1."/>
      <w:lvlJc w:val="left"/>
      <w:pPr>
        <w:ind w:left="720" w:hanging="360"/>
      </w:pPr>
    </w:lvl>
  </w:abstractNum>
  <w:abstractNum w:abstractNumId="28">
    <w:nsid w:val="6CF11834"/>
    <w:multiLevelType w:val="hybridMultilevel"/>
    <w:tmpl w:val="7DEC5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02E651D"/>
    <w:multiLevelType w:val="hybridMultilevel"/>
    <w:tmpl w:val="0046F4CC"/>
    <w:lvl w:ilvl="0" w:tplc="C3D672AE">
      <w:start w:val="7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C80068"/>
    <w:multiLevelType w:val="hybridMultilevel"/>
    <w:tmpl w:val="95F4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A6252"/>
    <w:multiLevelType w:val="hybridMultilevel"/>
    <w:tmpl w:val="7C8696F2"/>
    <w:lvl w:ilvl="0" w:tplc="C3D672AE">
      <w:start w:val="70"/>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8507471"/>
    <w:multiLevelType w:val="hybridMultilevel"/>
    <w:tmpl w:val="AF969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2"/>
  </w:num>
  <w:num w:numId="4">
    <w:abstractNumId w:val="19"/>
  </w:num>
  <w:num w:numId="5">
    <w:abstractNumId w:val="2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7"/>
  </w:num>
  <w:num w:numId="10">
    <w:abstractNumId w:val="4"/>
  </w:num>
  <w:num w:numId="11">
    <w:abstractNumId w:val="5"/>
  </w:num>
  <w:num w:numId="12">
    <w:abstractNumId w:val="6"/>
  </w:num>
  <w:num w:numId="13">
    <w:abstractNumId w:val="8"/>
  </w:num>
  <w:num w:numId="14">
    <w:abstractNumId w:val="30"/>
  </w:num>
  <w:num w:numId="15">
    <w:abstractNumId w:val="29"/>
  </w:num>
  <w:num w:numId="16">
    <w:abstractNumId w:val="20"/>
  </w:num>
  <w:num w:numId="17">
    <w:abstractNumId w:val="31"/>
  </w:num>
  <w:num w:numId="18">
    <w:abstractNumId w:val="10"/>
  </w:num>
  <w:num w:numId="19">
    <w:abstractNumId w:val="13"/>
  </w:num>
  <w:num w:numId="20">
    <w:abstractNumId w:val="11"/>
  </w:num>
  <w:num w:numId="21">
    <w:abstractNumId w:val="18"/>
  </w:num>
  <w:num w:numId="22">
    <w:abstractNumId w:val="16"/>
  </w:num>
  <w:num w:numId="23">
    <w:abstractNumId w:val="24"/>
  </w:num>
  <w:num w:numId="24">
    <w:abstractNumId w:val="26"/>
  </w:num>
  <w:num w:numId="25">
    <w:abstractNumId w:val="1"/>
  </w:num>
  <w:num w:numId="26">
    <w:abstractNumId w:val="15"/>
  </w:num>
  <w:num w:numId="27">
    <w:abstractNumId w:val="25"/>
  </w:num>
  <w:num w:numId="28">
    <w:abstractNumId w:val="9"/>
  </w:num>
  <w:num w:numId="29">
    <w:abstractNumId w:val="17"/>
  </w:num>
  <w:num w:numId="30">
    <w:abstractNumId w:val="32"/>
  </w:num>
  <w:num w:numId="31">
    <w:abstractNumId w:val="3"/>
  </w:num>
  <w:num w:numId="32">
    <w:abstractNumId w:val="2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9973FC"/>
    <w:rsid w:val="000026A1"/>
    <w:rsid w:val="00005DE0"/>
    <w:rsid w:val="00011809"/>
    <w:rsid w:val="00044966"/>
    <w:rsid w:val="0004497E"/>
    <w:rsid w:val="000503E8"/>
    <w:rsid w:val="00053950"/>
    <w:rsid w:val="000622AE"/>
    <w:rsid w:val="00062F8E"/>
    <w:rsid w:val="000647E1"/>
    <w:rsid w:val="00070028"/>
    <w:rsid w:val="00094C6C"/>
    <w:rsid w:val="00094F69"/>
    <w:rsid w:val="000967CC"/>
    <w:rsid w:val="000A235C"/>
    <w:rsid w:val="000A3133"/>
    <w:rsid w:val="000A3C2F"/>
    <w:rsid w:val="000B438B"/>
    <w:rsid w:val="000C3165"/>
    <w:rsid w:val="000C4548"/>
    <w:rsid w:val="000C62F5"/>
    <w:rsid w:val="000C79AB"/>
    <w:rsid w:val="000D4D3A"/>
    <w:rsid w:val="000D6529"/>
    <w:rsid w:val="000E431E"/>
    <w:rsid w:val="000E5209"/>
    <w:rsid w:val="000E7EE3"/>
    <w:rsid w:val="000F4D60"/>
    <w:rsid w:val="000F5457"/>
    <w:rsid w:val="00104348"/>
    <w:rsid w:val="00105EF5"/>
    <w:rsid w:val="001173A6"/>
    <w:rsid w:val="00121D40"/>
    <w:rsid w:val="00125580"/>
    <w:rsid w:val="00133FDD"/>
    <w:rsid w:val="00137E1F"/>
    <w:rsid w:val="00141A03"/>
    <w:rsid w:val="00145C34"/>
    <w:rsid w:val="001645EF"/>
    <w:rsid w:val="00167EEA"/>
    <w:rsid w:val="001704C1"/>
    <w:rsid w:val="00180B0F"/>
    <w:rsid w:val="00193AE3"/>
    <w:rsid w:val="00194F21"/>
    <w:rsid w:val="001A41A0"/>
    <w:rsid w:val="001B41CE"/>
    <w:rsid w:val="001B7E0E"/>
    <w:rsid w:val="001C295A"/>
    <w:rsid w:val="001C7902"/>
    <w:rsid w:val="001C797B"/>
    <w:rsid w:val="001F4C3A"/>
    <w:rsid w:val="001F777A"/>
    <w:rsid w:val="00210398"/>
    <w:rsid w:val="002217F0"/>
    <w:rsid w:val="00223821"/>
    <w:rsid w:val="002239C1"/>
    <w:rsid w:val="002254DB"/>
    <w:rsid w:val="00231A70"/>
    <w:rsid w:val="00236F83"/>
    <w:rsid w:val="00243E87"/>
    <w:rsid w:val="00244556"/>
    <w:rsid w:val="00246524"/>
    <w:rsid w:val="00251CDC"/>
    <w:rsid w:val="00252A47"/>
    <w:rsid w:val="0025362D"/>
    <w:rsid w:val="002708D3"/>
    <w:rsid w:val="002717BF"/>
    <w:rsid w:val="00277EEF"/>
    <w:rsid w:val="00281123"/>
    <w:rsid w:val="0028644D"/>
    <w:rsid w:val="0028797F"/>
    <w:rsid w:val="00290634"/>
    <w:rsid w:val="002945AD"/>
    <w:rsid w:val="002967AD"/>
    <w:rsid w:val="002A0189"/>
    <w:rsid w:val="002A36BE"/>
    <w:rsid w:val="002A49F1"/>
    <w:rsid w:val="002A648F"/>
    <w:rsid w:val="002B1433"/>
    <w:rsid w:val="002B45F8"/>
    <w:rsid w:val="002C2D88"/>
    <w:rsid w:val="002D2CF2"/>
    <w:rsid w:val="002E7DBE"/>
    <w:rsid w:val="002F550F"/>
    <w:rsid w:val="00300ED2"/>
    <w:rsid w:val="0030613D"/>
    <w:rsid w:val="00306E39"/>
    <w:rsid w:val="0030784A"/>
    <w:rsid w:val="00310A18"/>
    <w:rsid w:val="00312CEB"/>
    <w:rsid w:val="0031438F"/>
    <w:rsid w:val="00322AED"/>
    <w:rsid w:val="00327B32"/>
    <w:rsid w:val="00344F2B"/>
    <w:rsid w:val="00345B78"/>
    <w:rsid w:val="003512B5"/>
    <w:rsid w:val="00371611"/>
    <w:rsid w:val="00373E77"/>
    <w:rsid w:val="00374E7B"/>
    <w:rsid w:val="0037520F"/>
    <w:rsid w:val="00395F6B"/>
    <w:rsid w:val="003966C5"/>
    <w:rsid w:val="003B4DCD"/>
    <w:rsid w:val="003D0BA6"/>
    <w:rsid w:val="003D2820"/>
    <w:rsid w:val="003E287E"/>
    <w:rsid w:val="004039DD"/>
    <w:rsid w:val="004164E4"/>
    <w:rsid w:val="00423CAE"/>
    <w:rsid w:val="00431858"/>
    <w:rsid w:val="00457088"/>
    <w:rsid w:val="00474E33"/>
    <w:rsid w:val="00485A08"/>
    <w:rsid w:val="004946B8"/>
    <w:rsid w:val="004B5F91"/>
    <w:rsid w:val="004C018D"/>
    <w:rsid w:val="004D20A1"/>
    <w:rsid w:val="004D6D73"/>
    <w:rsid w:val="004E033C"/>
    <w:rsid w:val="004E051E"/>
    <w:rsid w:val="00503AD8"/>
    <w:rsid w:val="005124D7"/>
    <w:rsid w:val="005142E2"/>
    <w:rsid w:val="0051467B"/>
    <w:rsid w:val="00520A7B"/>
    <w:rsid w:val="005215D3"/>
    <w:rsid w:val="00521619"/>
    <w:rsid w:val="00525110"/>
    <w:rsid w:val="00526DA0"/>
    <w:rsid w:val="00537B31"/>
    <w:rsid w:val="005506CD"/>
    <w:rsid w:val="0055285E"/>
    <w:rsid w:val="00560252"/>
    <w:rsid w:val="005664C2"/>
    <w:rsid w:val="005841F7"/>
    <w:rsid w:val="00597876"/>
    <w:rsid w:val="005A5086"/>
    <w:rsid w:val="005A58F9"/>
    <w:rsid w:val="005B620F"/>
    <w:rsid w:val="005C5564"/>
    <w:rsid w:val="005E343A"/>
    <w:rsid w:val="005E621C"/>
    <w:rsid w:val="005F4C1C"/>
    <w:rsid w:val="00616113"/>
    <w:rsid w:val="0061785C"/>
    <w:rsid w:val="006239FD"/>
    <w:rsid w:val="00625423"/>
    <w:rsid w:val="006258EA"/>
    <w:rsid w:val="006336C0"/>
    <w:rsid w:val="00646E67"/>
    <w:rsid w:val="006616C0"/>
    <w:rsid w:val="00663ABE"/>
    <w:rsid w:val="00664DF2"/>
    <w:rsid w:val="00667027"/>
    <w:rsid w:val="00667421"/>
    <w:rsid w:val="006714BD"/>
    <w:rsid w:val="00673709"/>
    <w:rsid w:val="006844EF"/>
    <w:rsid w:val="006874A6"/>
    <w:rsid w:val="006956AC"/>
    <w:rsid w:val="006A2010"/>
    <w:rsid w:val="006A45C9"/>
    <w:rsid w:val="006A58C8"/>
    <w:rsid w:val="006D74AD"/>
    <w:rsid w:val="006D772C"/>
    <w:rsid w:val="006E1BEC"/>
    <w:rsid w:val="006F428C"/>
    <w:rsid w:val="00700998"/>
    <w:rsid w:val="00717932"/>
    <w:rsid w:val="007272A3"/>
    <w:rsid w:val="00744CB7"/>
    <w:rsid w:val="00744F69"/>
    <w:rsid w:val="00745C0D"/>
    <w:rsid w:val="007549F2"/>
    <w:rsid w:val="0076063F"/>
    <w:rsid w:val="00762321"/>
    <w:rsid w:val="00765AE2"/>
    <w:rsid w:val="00771B96"/>
    <w:rsid w:val="007832EA"/>
    <w:rsid w:val="007838D0"/>
    <w:rsid w:val="00784BF0"/>
    <w:rsid w:val="00786E4A"/>
    <w:rsid w:val="00793E63"/>
    <w:rsid w:val="007A7FD7"/>
    <w:rsid w:val="007B3EB0"/>
    <w:rsid w:val="007C4F50"/>
    <w:rsid w:val="007D7409"/>
    <w:rsid w:val="007E2250"/>
    <w:rsid w:val="007F4FB5"/>
    <w:rsid w:val="007F522D"/>
    <w:rsid w:val="008012CF"/>
    <w:rsid w:val="00815995"/>
    <w:rsid w:val="008252BA"/>
    <w:rsid w:val="00833392"/>
    <w:rsid w:val="00835040"/>
    <w:rsid w:val="00840D71"/>
    <w:rsid w:val="008531E6"/>
    <w:rsid w:val="00855F3F"/>
    <w:rsid w:val="00856CB9"/>
    <w:rsid w:val="00867763"/>
    <w:rsid w:val="0087021F"/>
    <w:rsid w:val="00876505"/>
    <w:rsid w:val="00893B09"/>
    <w:rsid w:val="008A4604"/>
    <w:rsid w:val="008B2610"/>
    <w:rsid w:val="008C10F6"/>
    <w:rsid w:val="008E1560"/>
    <w:rsid w:val="008E586B"/>
    <w:rsid w:val="008E7D61"/>
    <w:rsid w:val="008F0B38"/>
    <w:rsid w:val="008F0FC3"/>
    <w:rsid w:val="008F2543"/>
    <w:rsid w:val="00903CBE"/>
    <w:rsid w:val="00905519"/>
    <w:rsid w:val="00910254"/>
    <w:rsid w:val="009121F6"/>
    <w:rsid w:val="0091464C"/>
    <w:rsid w:val="009317AC"/>
    <w:rsid w:val="0093297D"/>
    <w:rsid w:val="0094067B"/>
    <w:rsid w:val="00942B95"/>
    <w:rsid w:val="00943577"/>
    <w:rsid w:val="0094371C"/>
    <w:rsid w:val="009439FB"/>
    <w:rsid w:val="009441C7"/>
    <w:rsid w:val="00952376"/>
    <w:rsid w:val="009616D8"/>
    <w:rsid w:val="00971728"/>
    <w:rsid w:val="009717A4"/>
    <w:rsid w:val="00982A1A"/>
    <w:rsid w:val="009831D3"/>
    <w:rsid w:val="00985AD3"/>
    <w:rsid w:val="009973FC"/>
    <w:rsid w:val="009A6695"/>
    <w:rsid w:val="009B0586"/>
    <w:rsid w:val="009B6928"/>
    <w:rsid w:val="009B74C1"/>
    <w:rsid w:val="009D23BB"/>
    <w:rsid w:val="009F21A4"/>
    <w:rsid w:val="00A001AB"/>
    <w:rsid w:val="00A0272F"/>
    <w:rsid w:val="00A02F0E"/>
    <w:rsid w:val="00A038F6"/>
    <w:rsid w:val="00A03DBF"/>
    <w:rsid w:val="00A05E03"/>
    <w:rsid w:val="00A1074D"/>
    <w:rsid w:val="00A14D91"/>
    <w:rsid w:val="00A22EAE"/>
    <w:rsid w:val="00A26B8E"/>
    <w:rsid w:val="00A3081C"/>
    <w:rsid w:val="00A3202A"/>
    <w:rsid w:val="00A337C8"/>
    <w:rsid w:val="00A3525A"/>
    <w:rsid w:val="00A51628"/>
    <w:rsid w:val="00A55177"/>
    <w:rsid w:val="00A6479E"/>
    <w:rsid w:val="00A8035D"/>
    <w:rsid w:val="00A810D9"/>
    <w:rsid w:val="00A868E8"/>
    <w:rsid w:val="00A92218"/>
    <w:rsid w:val="00AB1B8D"/>
    <w:rsid w:val="00AC106F"/>
    <w:rsid w:val="00AC27A6"/>
    <w:rsid w:val="00AC59A9"/>
    <w:rsid w:val="00AD3088"/>
    <w:rsid w:val="00AD6823"/>
    <w:rsid w:val="00AD727A"/>
    <w:rsid w:val="00AF3306"/>
    <w:rsid w:val="00B003E9"/>
    <w:rsid w:val="00B052BA"/>
    <w:rsid w:val="00B0660F"/>
    <w:rsid w:val="00B443AE"/>
    <w:rsid w:val="00B526DF"/>
    <w:rsid w:val="00B60038"/>
    <w:rsid w:val="00B62194"/>
    <w:rsid w:val="00B8022B"/>
    <w:rsid w:val="00B95964"/>
    <w:rsid w:val="00BA4064"/>
    <w:rsid w:val="00BC30AF"/>
    <w:rsid w:val="00BE2212"/>
    <w:rsid w:val="00BE3191"/>
    <w:rsid w:val="00BE3282"/>
    <w:rsid w:val="00BE332B"/>
    <w:rsid w:val="00BE33B4"/>
    <w:rsid w:val="00BE7E40"/>
    <w:rsid w:val="00BF421F"/>
    <w:rsid w:val="00BF5236"/>
    <w:rsid w:val="00C201A1"/>
    <w:rsid w:val="00C30784"/>
    <w:rsid w:val="00C31541"/>
    <w:rsid w:val="00C322D0"/>
    <w:rsid w:val="00C32BEE"/>
    <w:rsid w:val="00C35E77"/>
    <w:rsid w:val="00C436DF"/>
    <w:rsid w:val="00C575F3"/>
    <w:rsid w:val="00C60E62"/>
    <w:rsid w:val="00C70B69"/>
    <w:rsid w:val="00C775EC"/>
    <w:rsid w:val="00C86D23"/>
    <w:rsid w:val="00CA0AE5"/>
    <w:rsid w:val="00CA5E2E"/>
    <w:rsid w:val="00CB3DB2"/>
    <w:rsid w:val="00CC2F1B"/>
    <w:rsid w:val="00CC3827"/>
    <w:rsid w:val="00CC69B8"/>
    <w:rsid w:val="00CD02C3"/>
    <w:rsid w:val="00CE2A67"/>
    <w:rsid w:val="00CE2F1A"/>
    <w:rsid w:val="00D008D2"/>
    <w:rsid w:val="00D01AED"/>
    <w:rsid w:val="00D114D0"/>
    <w:rsid w:val="00D1718D"/>
    <w:rsid w:val="00D21987"/>
    <w:rsid w:val="00D22FD0"/>
    <w:rsid w:val="00D23DDD"/>
    <w:rsid w:val="00D2428E"/>
    <w:rsid w:val="00D243E6"/>
    <w:rsid w:val="00D46FE4"/>
    <w:rsid w:val="00D51573"/>
    <w:rsid w:val="00D54640"/>
    <w:rsid w:val="00D5690E"/>
    <w:rsid w:val="00D76B50"/>
    <w:rsid w:val="00D8670B"/>
    <w:rsid w:val="00DA014D"/>
    <w:rsid w:val="00DA3CFC"/>
    <w:rsid w:val="00DA4D2E"/>
    <w:rsid w:val="00DB5A1C"/>
    <w:rsid w:val="00DC452C"/>
    <w:rsid w:val="00DC4D18"/>
    <w:rsid w:val="00DF46F8"/>
    <w:rsid w:val="00E0307D"/>
    <w:rsid w:val="00E03DEC"/>
    <w:rsid w:val="00E1090A"/>
    <w:rsid w:val="00E12A74"/>
    <w:rsid w:val="00E13556"/>
    <w:rsid w:val="00E16CB2"/>
    <w:rsid w:val="00E17981"/>
    <w:rsid w:val="00E2527F"/>
    <w:rsid w:val="00E25B19"/>
    <w:rsid w:val="00E2721C"/>
    <w:rsid w:val="00E30478"/>
    <w:rsid w:val="00E52F29"/>
    <w:rsid w:val="00E55CB7"/>
    <w:rsid w:val="00E62C2C"/>
    <w:rsid w:val="00E96137"/>
    <w:rsid w:val="00E96E1C"/>
    <w:rsid w:val="00EA000D"/>
    <w:rsid w:val="00EA16DF"/>
    <w:rsid w:val="00EA28BD"/>
    <w:rsid w:val="00EC58A9"/>
    <w:rsid w:val="00ED234E"/>
    <w:rsid w:val="00EE3F16"/>
    <w:rsid w:val="00EE62AF"/>
    <w:rsid w:val="00EE7551"/>
    <w:rsid w:val="00EF1E17"/>
    <w:rsid w:val="00EF2E12"/>
    <w:rsid w:val="00EF425D"/>
    <w:rsid w:val="00EF733E"/>
    <w:rsid w:val="00F01D29"/>
    <w:rsid w:val="00F039CC"/>
    <w:rsid w:val="00F04E6D"/>
    <w:rsid w:val="00F14EF4"/>
    <w:rsid w:val="00F378AE"/>
    <w:rsid w:val="00F46A5A"/>
    <w:rsid w:val="00F51984"/>
    <w:rsid w:val="00F53FBB"/>
    <w:rsid w:val="00F55B7D"/>
    <w:rsid w:val="00F709D4"/>
    <w:rsid w:val="00F772D9"/>
    <w:rsid w:val="00F820AE"/>
    <w:rsid w:val="00F837BD"/>
    <w:rsid w:val="00F83F01"/>
    <w:rsid w:val="00F90182"/>
    <w:rsid w:val="00F94461"/>
    <w:rsid w:val="00FA0817"/>
    <w:rsid w:val="00FA50B0"/>
    <w:rsid w:val="00FA6C4A"/>
    <w:rsid w:val="00FA7FE2"/>
    <w:rsid w:val="00FB0078"/>
    <w:rsid w:val="00FC04B5"/>
    <w:rsid w:val="00FC4AFB"/>
    <w:rsid w:val="00FD54A8"/>
    <w:rsid w:val="00FE3766"/>
    <w:rsid w:val="00FE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D23BB"/>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9D23BB"/>
    <w:pPr>
      <w:numPr>
        <w:numId w:val="1"/>
      </w:numPr>
      <w:ind w:left="720" w:hanging="720"/>
      <w:outlineLvl w:val="0"/>
    </w:pPr>
    <w:rPr>
      <w:kern w:val="28"/>
    </w:rPr>
  </w:style>
  <w:style w:type="paragraph" w:styleId="Heading2">
    <w:name w:val="heading 2"/>
    <w:basedOn w:val="Normal"/>
    <w:next w:val="Normal"/>
    <w:qFormat/>
    <w:rsid w:val="009D23BB"/>
    <w:pPr>
      <w:numPr>
        <w:ilvl w:val="1"/>
        <w:numId w:val="1"/>
      </w:numPr>
      <w:ind w:left="720" w:hanging="720"/>
      <w:outlineLvl w:val="1"/>
    </w:pPr>
  </w:style>
  <w:style w:type="paragraph" w:styleId="Heading3">
    <w:name w:val="heading 3"/>
    <w:basedOn w:val="Normal"/>
    <w:next w:val="Normal"/>
    <w:qFormat/>
    <w:rsid w:val="009D23BB"/>
    <w:pPr>
      <w:numPr>
        <w:ilvl w:val="2"/>
        <w:numId w:val="1"/>
      </w:numPr>
      <w:ind w:left="720" w:hanging="720"/>
      <w:outlineLvl w:val="2"/>
    </w:pPr>
  </w:style>
  <w:style w:type="paragraph" w:styleId="Heading4">
    <w:name w:val="heading 4"/>
    <w:basedOn w:val="Normal"/>
    <w:next w:val="Normal"/>
    <w:qFormat/>
    <w:rsid w:val="009D23BB"/>
    <w:pPr>
      <w:numPr>
        <w:ilvl w:val="3"/>
        <w:numId w:val="1"/>
      </w:numPr>
      <w:ind w:left="720" w:hanging="720"/>
      <w:outlineLvl w:val="3"/>
    </w:pPr>
  </w:style>
  <w:style w:type="paragraph" w:styleId="Heading5">
    <w:name w:val="heading 5"/>
    <w:basedOn w:val="Normal"/>
    <w:next w:val="Normal"/>
    <w:qFormat/>
    <w:rsid w:val="009D23BB"/>
    <w:pPr>
      <w:numPr>
        <w:ilvl w:val="4"/>
        <w:numId w:val="1"/>
      </w:numPr>
      <w:ind w:left="720" w:hanging="720"/>
      <w:outlineLvl w:val="4"/>
    </w:pPr>
  </w:style>
  <w:style w:type="paragraph" w:styleId="Heading6">
    <w:name w:val="heading 6"/>
    <w:basedOn w:val="Normal"/>
    <w:next w:val="Normal"/>
    <w:qFormat/>
    <w:rsid w:val="009D23BB"/>
    <w:pPr>
      <w:numPr>
        <w:ilvl w:val="5"/>
        <w:numId w:val="1"/>
      </w:numPr>
      <w:ind w:left="720" w:hanging="720"/>
      <w:outlineLvl w:val="5"/>
    </w:pPr>
  </w:style>
  <w:style w:type="paragraph" w:styleId="Heading7">
    <w:name w:val="heading 7"/>
    <w:basedOn w:val="Normal"/>
    <w:next w:val="Normal"/>
    <w:qFormat/>
    <w:rsid w:val="009D23BB"/>
    <w:pPr>
      <w:numPr>
        <w:ilvl w:val="6"/>
        <w:numId w:val="1"/>
      </w:numPr>
      <w:ind w:left="720" w:hanging="720"/>
      <w:outlineLvl w:val="6"/>
    </w:pPr>
  </w:style>
  <w:style w:type="paragraph" w:styleId="Heading8">
    <w:name w:val="heading 8"/>
    <w:basedOn w:val="Normal"/>
    <w:next w:val="Normal"/>
    <w:qFormat/>
    <w:rsid w:val="009D23BB"/>
    <w:pPr>
      <w:numPr>
        <w:ilvl w:val="7"/>
        <w:numId w:val="1"/>
      </w:numPr>
      <w:ind w:left="720" w:hanging="720"/>
      <w:outlineLvl w:val="7"/>
    </w:pPr>
  </w:style>
  <w:style w:type="paragraph" w:styleId="Heading9">
    <w:name w:val="heading 9"/>
    <w:basedOn w:val="Normal"/>
    <w:next w:val="Normal"/>
    <w:qFormat/>
    <w:rsid w:val="009D23B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3BB"/>
  </w:style>
  <w:style w:type="paragraph" w:styleId="FootnoteText">
    <w:name w:val="footnote text"/>
    <w:basedOn w:val="Normal"/>
    <w:link w:val="FootnoteTextChar"/>
    <w:rsid w:val="009D23BB"/>
    <w:pPr>
      <w:keepLines/>
      <w:spacing w:after="60" w:line="240" w:lineRule="auto"/>
      <w:ind w:left="720" w:hanging="720"/>
    </w:pPr>
    <w:rPr>
      <w:sz w:val="16"/>
    </w:rPr>
  </w:style>
  <w:style w:type="paragraph" w:styleId="Header">
    <w:name w:val="header"/>
    <w:basedOn w:val="Normal"/>
    <w:rsid w:val="009D23BB"/>
  </w:style>
  <w:style w:type="character" w:styleId="FootnoteReference">
    <w:name w:val="footnote reference"/>
    <w:basedOn w:val="DefaultParagraphFont"/>
    <w:qFormat/>
    <w:rsid w:val="009D23BB"/>
    <w:rPr>
      <w:sz w:val="24"/>
      <w:vertAlign w:val="superscript"/>
    </w:rPr>
  </w:style>
  <w:style w:type="character" w:styleId="Hyperlink">
    <w:name w:val="Hyperlink"/>
    <w:basedOn w:val="DefaultParagraphFont"/>
    <w:uiPriority w:val="99"/>
    <w:unhideWhenUsed/>
    <w:rsid w:val="009973FC"/>
    <w:rPr>
      <w:color w:val="0000FF" w:themeColor="hyperlink"/>
      <w:u w:val="single"/>
    </w:rPr>
  </w:style>
  <w:style w:type="table" w:styleId="TableGrid">
    <w:name w:val="Table Grid"/>
    <w:basedOn w:val="TableNormal"/>
    <w:uiPriority w:val="59"/>
    <w:rsid w:val="009973FC"/>
    <w:pPr>
      <w:spacing w:line="240" w:lineRule="auto"/>
      <w:jc w:val="left"/>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1A41A0"/>
    <w:rPr>
      <w:sz w:val="16"/>
      <w:szCs w:val="20"/>
      <w:lang w:val="en-GB"/>
    </w:rPr>
  </w:style>
  <w:style w:type="paragraph" w:styleId="ListParagraph">
    <w:name w:val="List Paragraph"/>
    <w:aliases w:val="Bullet"/>
    <w:basedOn w:val="Normal"/>
    <w:uiPriority w:val="34"/>
    <w:qFormat/>
    <w:rsid w:val="002A36BE"/>
    <w:pPr>
      <w:ind w:left="720"/>
      <w:contextualSpacing/>
    </w:pPr>
  </w:style>
  <w:style w:type="paragraph" w:styleId="BalloonText">
    <w:name w:val="Balloon Text"/>
    <w:basedOn w:val="Normal"/>
    <w:link w:val="BalloonTextChar"/>
    <w:rsid w:val="00982A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2A1A"/>
    <w:rPr>
      <w:rFonts w:ascii="Tahoma" w:hAnsi="Tahoma" w:cs="Tahoma"/>
      <w:sz w:val="16"/>
      <w:szCs w:val="16"/>
      <w:lang w:val="en-GB"/>
    </w:rPr>
  </w:style>
  <w:style w:type="character" w:styleId="CommentReference">
    <w:name w:val="annotation reference"/>
    <w:basedOn w:val="DefaultParagraphFont"/>
    <w:rsid w:val="001B7E0E"/>
    <w:rPr>
      <w:sz w:val="16"/>
      <w:szCs w:val="16"/>
    </w:rPr>
  </w:style>
  <w:style w:type="paragraph" w:styleId="CommentText">
    <w:name w:val="annotation text"/>
    <w:basedOn w:val="Normal"/>
    <w:link w:val="CommentTextChar"/>
    <w:rsid w:val="001B7E0E"/>
    <w:pPr>
      <w:spacing w:line="240" w:lineRule="auto"/>
    </w:pPr>
    <w:rPr>
      <w:sz w:val="20"/>
    </w:rPr>
  </w:style>
  <w:style w:type="character" w:customStyle="1" w:styleId="CommentTextChar">
    <w:name w:val="Comment Text Char"/>
    <w:basedOn w:val="DefaultParagraphFont"/>
    <w:link w:val="CommentText"/>
    <w:rsid w:val="001B7E0E"/>
    <w:rPr>
      <w:sz w:val="20"/>
      <w:szCs w:val="20"/>
      <w:lang w:val="en-GB"/>
    </w:rPr>
  </w:style>
  <w:style w:type="paragraph" w:styleId="CommentSubject">
    <w:name w:val="annotation subject"/>
    <w:basedOn w:val="CommentText"/>
    <w:next w:val="CommentText"/>
    <w:link w:val="CommentSubjectChar"/>
    <w:rsid w:val="001B7E0E"/>
    <w:rPr>
      <w:b/>
      <w:bCs/>
    </w:rPr>
  </w:style>
  <w:style w:type="character" w:customStyle="1" w:styleId="CommentSubjectChar">
    <w:name w:val="Comment Subject Char"/>
    <w:basedOn w:val="CommentTextChar"/>
    <w:link w:val="CommentSubject"/>
    <w:rsid w:val="001B7E0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D23BB"/>
    <w:pPr>
      <w:overflowPunct w:val="0"/>
      <w:autoSpaceDE w:val="0"/>
      <w:autoSpaceDN w:val="0"/>
      <w:adjustRightInd w:val="0"/>
      <w:textAlignment w:val="baseline"/>
    </w:pPr>
    <w:rPr>
      <w:szCs w:val="20"/>
      <w:lang w:val="en-GB"/>
    </w:rPr>
  </w:style>
  <w:style w:type="paragraph" w:styleId="Heading1">
    <w:name w:val="heading 1"/>
    <w:basedOn w:val="Normal"/>
    <w:next w:val="Normal"/>
    <w:qFormat/>
    <w:rsid w:val="009D23BB"/>
    <w:pPr>
      <w:numPr>
        <w:numId w:val="1"/>
      </w:numPr>
      <w:ind w:left="720" w:hanging="720"/>
      <w:outlineLvl w:val="0"/>
    </w:pPr>
    <w:rPr>
      <w:kern w:val="28"/>
    </w:rPr>
  </w:style>
  <w:style w:type="paragraph" w:styleId="Heading2">
    <w:name w:val="heading 2"/>
    <w:basedOn w:val="Normal"/>
    <w:next w:val="Normal"/>
    <w:qFormat/>
    <w:rsid w:val="009D23BB"/>
    <w:pPr>
      <w:numPr>
        <w:ilvl w:val="1"/>
        <w:numId w:val="1"/>
      </w:numPr>
      <w:ind w:left="720" w:hanging="720"/>
      <w:outlineLvl w:val="1"/>
    </w:pPr>
  </w:style>
  <w:style w:type="paragraph" w:styleId="Heading3">
    <w:name w:val="heading 3"/>
    <w:basedOn w:val="Normal"/>
    <w:next w:val="Normal"/>
    <w:qFormat/>
    <w:rsid w:val="009D23BB"/>
    <w:pPr>
      <w:numPr>
        <w:ilvl w:val="2"/>
        <w:numId w:val="1"/>
      </w:numPr>
      <w:ind w:left="720" w:hanging="720"/>
      <w:outlineLvl w:val="2"/>
    </w:pPr>
  </w:style>
  <w:style w:type="paragraph" w:styleId="Heading4">
    <w:name w:val="heading 4"/>
    <w:basedOn w:val="Normal"/>
    <w:next w:val="Normal"/>
    <w:qFormat/>
    <w:rsid w:val="009D23BB"/>
    <w:pPr>
      <w:numPr>
        <w:ilvl w:val="3"/>
        <w:numId w:val="1"/>
      </w:numPr>
      <w:ind w:left="720" w:hanging="720"/>
      <w:outlineLvl w:val="3"/>
    </w:pPr>
  </w:style>
  <w:style w:type="paragraph" w:styleId="Heading5">
    <w:name w:val="heading 5"/>
    <w:basedOn w:val="Normal"/>
    <w:next w:val="Normal"/>
    <w:qFormat/>
    <w:rsid w:val="009D23BB"/>
    <w:pPr>
      <w:numPr>
        <w:ilvl w:val="4"/>
        <w:numId w:val="1"/>
      </w:numPr>
      <w:ind w:left="720" w:hanging="720"/>
      <w:outlineLvl w:val="4"/>
    </w:pPr>
  </w:style>
  <w:style w:type="paragraph" w:styleId="Heading6">
    <w:name w:val="heading 6"/>
    <w:basedOn w:val="Normal"/>
    <w:next w:val="Normal"/>
    <w:qFormat/>
    <w:rsid w:val="009D23BB"/>
    <w:pPr>
      <w:numPr>
        <w:ilvl w:val="5"/>
        <w:numId w:val="1"/>
      </w:numPr>
      <w:ind w:left="720" w:hanging="720"/>
      <w:outlineLvl w:val="5"/>
    </w:pPr>
  </w:style>
  <w:style w:type="paragraph" w:styleId="Heading7">
    <w:name w:val="heading 7"/>
    <w:basedOn w:val="Normal"/>
    <w:next w:val="Normal"/>
    <w:qFormat/>
    <w:rsid w:val="009D23BB"/>
    <w:pPr>
      <w:numPr>
        <w:ilvl w:val="6"/>
        <w:numId w:val="1"/>
      </w:numPr>
      <w:ind w:left="720" w:hanging="720"/>
      <w:outlineLvl w:val="6"/>
    </w:pPr>
  </w:style>
  <w:style w:type="paragraph" w:styleId="Heading8">
    <w:name w:val="heading 8"/>
    <w:basedOn w:val="Normal"/>
    <w:next w:val="Normal"/>
    <w:qFormat/>
    <w:rsid w:val="009D23BB"/>
    <w:pPr>
      <w:numPr>
        <w:ilvl w:val="7"/>
        <w:numId w:val="1"/>
      </w:numPr>
      <w:ind w:left="720" w:hanging="720"/>
      <w:outlineLvl w:val="7"/>
    </w:pPr>
  </w:style>
  <w:style w:type="paragraph" w:styleId="Heading9">
    <w:name w:val="heading 9"/>
    <w:basedOn w:val="Normal"/>
    <w:next w:val="Normal"/>
    <w:qFormat/>
    <w:rsid w:val="009D23BB"/>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3BB"/>
  </w:style>
  <w:style w:type="paragraph" w:styleId="FootnoteText">
    <w:name w:val="footnote text"/>
    <w:basedOn w:val="Normal"/>
    <w:link w:val="FootnoteTextChar"/>
    <w:rsid w:val="009D23BB"/>
    <w:pPr>
      <w:keepLines/>
      <w:spacing w:after="60" w:line="240" w:lineRule="auto"/>
      <w:ind w:left="720" w:hanging="720"/>
    </w:pPr>
    <w:rPr>
      <w:sz w:val="16"/>
    </w:rPr>
  </w:style>
  <w:style w:type="paragraph" w:styleId="Header">
    <w:name w:val="header"/>
    <w:basedOn w:val="Normal"/>
    <w:rsid w:val="009D23BB"/>
  </w:style>
  <w:style w:type="character" w:styleId="FootnoteReference">
    <w:name w:val="footnote reference"/>
    <w:basedOn w:val="DefaultParagraphFont"/>
    <w:qFormat/>
    <w:rsid w:val="009D23BB"/>
    <w:rPr>
      <w:sz w:val="24"/>
      <w:vertAlign w:val="superscript"/>
    </w:rPr>
  </w:style>
  <w:style w:type="character" w:styleId="Hyperlink">
    <w:name w:val="Hyperlink"/>
    <w:basedOn w:val="DefaultParagraphFont"/>
    <w:uiPriority w:val="99"/>
    <w:unhideWhenUsed/>
    <w:rsid w:val="009973FC"/>
    <w:rPr>
      <w:color w:val="0000FF" w:themeColor="hyperlink"/>
      <w:u w:val="single"/>
    </w:rPr>
  </w:style>
  <w:style w:type="table" w:styleId="TableGrid">
    <w:name w:val="Table Grid"/>
    <w:basedOn w:val="TableNormal"/>
    <w:uiPriority w:val="59"/>
    <w:rsid w:val="009973FC"/>
    <w:pPr>
      <w:spacing w:line="240" w:lineRule="auto"/>
      <w:jc w:val="left"/>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1A41A0"/>
    <w:rPr>
      <w:sz w:val="16"/>
      <w:szCs w:val="20"/>
      <w:lang w:val="en-GB"/>
    </w:rPr>
  </w:style>
  <w:style w:type="paragraph" w:styleId="ListParagraph">
    <w:name w:val="List Paragraph"/>
    <w:aliases w:val="Bullet"/>
    <w:basedOn w:val="Normal"/>
    <w:uiPriority w:val="34"/>
    <w:qFormat/>
    <w:rsid w:val="002A36BE"/>
    <w:pPr>
      <w:ind w:left="720"/>
      <w:contextualSpacing/>
    </w:pPr>
  </w:style>
  <w:style w:type="paragraph" w:styleId="BalloonText">
    <w:name w:val="Balloon Text"/>
    <w:basedOn w:val="Normal"/>
    <w:link w:val="BalloonTextChar"/>
    <w:rsid w:val="00982A1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2A1A"/>
    <w:rPr>
      <w:rFonts w:ascii="Tahoma" w:hAnsi="Tahoma" w:cs="Tahoma"/>
      <w:sz w:val="16"/>
      <w:szCs w:val="16"/>
      <w:lang w:val="en-GB"/>
    </w:rPr>
  </w:style>
  <w:style w:type="character" w:styleId="CommentReference">
    <w:name w:val="annotation reference"/>
    <w:basedOn w:val="DefaultParagraphFont"/>
    <w:rsid w:val="001B7E0E"/>
    <w:rPr>
      <w:sz w:val="16"/>
      <w:szCs w:val="16"/>
    </w:rPr>
  </w:style>
  <w:style w:type="paragraph" w:styleId="CommentText">
    <w:name w:val="annotation text"/>
    <w:basedOn w:val="Normal"/>
    <w:link w:val="CommentTextChar"/>
    <w:rsid w:val="001B7E0E"/>
    <w:pPr>
      <w:spacing w:line="240" w:lineRule="auto"/>
    </w:pPr>
    <w:rPr>
      <w:sz w:val="20"/>
    </w:rPr>
  </w:style>
  <w:style w:type="character" w:customStyle="1" w:styleId="CommentTextChar">
    <w:name w:val="Comment Text Char"/>
    <w:basedOn w:val="DefaultParagraphFont"/>
    <w:link w:val="CommentText"/>
    <w:rsid w:val="001B7E0E"/>
    <w:rPr>
      <w:sz w:val="20"/>
      <w:szCs w:val="20"/>
      <w:lang w:val="en-GB"/>
    </w:rPr>
  </w:style>
  <w:style w:type="paragraph" w:styleId="CommentSubject">
    <w:name w:val="annotation subject"/>
    <w:basedOn w:val="CommentText"/>
    <w:next w:val="CommentText"/>
    <w:link w:val="CommentSubjectChar"/>
    <w:rsid w:val="001B7E0E"/>
    <w:rPr>
      <w:b/>
      <w:bCs/>
    </w:rPr>
  </w:style>
  <w:style w:type="character" w:customStyle="1" w:styleId="CommentSubjectChar">
    <w:name w:val="Comment Subject Char"/>
    <w:basedOn w:val="CommentTextChar"/>
    <w:link w:val="CommentSubject"/>
    <w:rsid w:val="001B7E0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951">
      <w:bodyDiv w:val="1"/>
      <w:marLeft w:val="0"/>
      <w:marRight w:val="0"/>
      <w:marTop w:val="0"/>
      <w:marBottom w:val="0"/>
      <w:divBdr>
        <w:top w:val="none" w:sz="0" w:space="0" w:color="auto"/>
        <w:left w:val="none" w:sz="0" w:space="0" w:color="auto"/>
        <w:bottom w:val="none" w:sz="0" w:space="0" w:color="auto"/>
        <w:right w:val="none" w:sz="0" w:space="0" w:color="auto"/>
      </w:divBdr>
    </w:div>
    <w:div w:id="512309141">
      <w:bodyDiv w:val="1"/>
      <w:marLeft w:val="0"/>
      <w:marRight w:val="0"/>
      <w:marTop w:val="0"/>
      <w:marBottom w:val="0"/>
      <w:divBdr>
        <w:top w:val="none" w:sz="0" w:space="0" w:color="auto"/>
        <w:left w:val="none" w:sz="0" w:space="0" w:color="auto"/>
        <w:bottom w:val="none" w:sz="0" w:space="0" w:color="auto"/>
        <w:right w:val="none" w:sz="0" w:space="0" w:color="auto"/>
      </w:divBdr>
    </w:div>
    <w:div w:id="568468341">
      <w:bodyDiv w:val="1"/>
      <w:marLeft w:val="0"/>
      <w:marRight w:val="0"/>
      <w:marTop w:val="0"/>
      <w:marBottom w:val="0"/>
      <w:divBdr>
        <w:top w:val="none" w:sz="0" w:space="0" w:color="auto"/>
        <w:left w:val="none" w:sz="0" w:space="0" w:color="auto"/>
        <w:bottom w:val="none" w:sz="0" w:space="0" w:color="auto"/>
        <w:right w:val="none" w:sz="0" w:space="0" w:color="auto"/>
      </w:divBdr>
    </w:div>
    <w:div w:id="933244454">
      <w:bodyDiv w:val="1"/>
      <w:marLeft w:val="0"/>
      <w:marRight w:val="0"/>
      <w:marTop w:val="0"/>
      <w:marBottom w:val="0"/>
      <w:divBdr>
        <w:top w:val="none" w:sz="0" w:space="0" w:color="auto"/>
        <w:left w:val="none" w:sz="0" w:space="0" w:color="auto"/>
        <w:bottom w:val="none" w:sz="0" w:space="0" w:color="auto"/>
        <w:right w:val="none" w:sz="0" w:space="0" w:color="auto"/>
      </w:divBdr>
    </w:div>
    <w:div w:id="991982382">
      <w:bodyDiv w:val="1"/>
      <w:marLeft w:val="0"/>
      <w:marRight w:val="0"/>
      <w:marTop w:val="0"/>
      <w:marBottom w:val="0"/>
      <w:divBdr>
        <w:top w:val="none" w:sz="0" w:space="0" w:color="auto"/>
        <w:left w:val="none" w:sz="0" w:space="0" w:color="auto"/>
        <w:bottom w:val="none" w:sz="0" w:space="0" w:color="auto"/>
        <w:right w:val="none" w:sz="0" w:space="0" w:color="auto"/>
      </w:divBdr>
    </w:div>
    <w:div w:id="1447970948">
      <w:bodyDiv w:val="1"/>
      <w:marLeft w:val="0"/>
      <w:marRight w:val="0"/>
      <w:marTop w:val="0"/>
      <w:marBottom w:val="0"/>
      <w:divBdr>
        <w:top w:val="none" w:sz="0" w:space="0" w:color="auto"/>
        <w:left w:val="none" w:sz="0" w:space="0" w:color="auto"/>
        <w:bottom w:val="none" w:sz="0" w:space="0" w:color="auto"/>
        <w:right w:val="none" w:sz="0" w:space="0" w:color="auto"/>
      </w:divBdr>
    </w:div>
    <w:div w:id="17592549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CORWEB-35823330-96</_dlc_DocId>
    <_dlc_DocIdUrl xmlns="61ca3f1a-19f4-461d-a43b-0b5ad97b08be">
      <Url>https://prod-portal.cor.europa.eu/en/our-work/_layouts/15/DocIdRedir.aspx?ID=CORWEB-35823330-96</Url>
      <Description>CORWEB-35823330-96</Description>
    </_dlc_DocIdUrl>
    <KIKLOS_ID xmlns="61ca3f1a-19f4-461d-a43b-0b5ad97b08be" xsi:nil="true"/>
    <go3c xmlns="eb88869c-fc5f-4bcf-872f-ed8c799e1c02" xsi:nil="true"/>
  </documentManagement>
</p:properties>
</file>

<file path=customXml/itemProps1.xml><?xml version="1.0" encoding="utf-8"?>
<ds:datastoreItem xmlns:ds="http://schemas.openxmlformats.org/officeDocument/2006/customXml" ds:itemID="{DC26DB62-5005-4DF3-B4F1-15407B6187A9}"/>
</file>

<file path=customXml/itemProps2.xml><?xml version="1.0" encoding="utf-8"?>
<ds:datastoreItem xmlns:ds="http://schemas.openxmlformats.org/officeDocument/2006/customXml" ds:itemID="{A96B1C8D-0232-42BD-A448-776D4530FEB8}"/>
</file>

<file path=customXml/itemProps3.xml><?xml version="1.0" encoding="utf-8"?>
<ds:datastoreItem xmlns:ds="http://schemas.openxmlformats.org/officeDocument/2006/customXml" ds:itemID="{00093217-A420-421C-8529-E12D809B4AD9}"/>
</file>

<file path=customXml/itemProps4.xml><?xml version="1.0" encoding="utf-8"?>
<ds:datastoreItem xmlns:ds="http://schemas.openxmlformats.org/officeDocument/2006/customXml" ds:itemID="{22C499EF-05F0-482D-A475-471406E68204}"/>
</file>

<file path=customXml/itemProps5.xml><?xml version="1.0" encoding="utf-8"?>
<ds:datastoreItem xmlns:ds="http://schemas.openxmlformats.org/officeDocument/2006/customXml" ds:itemID="{B3DFD285-0099-42FC-AC27-3FA7DC864190}"/>
</file>

<file path=docProps/app.xml><?xml version="1.0" encoding="utf-8"?>
<Properties xmlns="http://schemas.openxmlformats.org/officeDocument/2006/extended-properties" xmlns:vt="http://schemas.openxmlformats.org/officeDocument/2006/docPropsVTypes">
  <Template>Normal.dotm</Template>
  <TotalTime>1</TotalTime>
  <Pages>6</Pages>
  <Words>2315</Words>
  <Characters>13216</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KEP action plan 2018</vt:lpstr>
    </vt:vector>
  </TitlesOfParts>
  <Company>CESE-CdR</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 action plan 2018</dc:title>
  <dc:subject>Consultative work, various</dc:subject>
  <dc:creator>Dea Hrelja</dc:creator>
  <cp:keywords>COR-2018-00441-00-01-TCD-TRA-EN</cp:keywords>
  <dc:description>Rapporteur:  - Original language: EN - Date of document: 01/02/2018 - Date of meeting: 21/02/2018 - External documents:  - Administrator:  SATTA VALERIA</dc:description>
  <cp:lastModifiedBy>Flavia Diniz</cp:lastModifiedBy>
  <cp:revision>2</cp:revision>
  <cp:lastPrinted>2018-01-19T12:13:00Z</cp:lastPrinted>
  <dcterms:created xsi:type="dcterms:W3CDTF">2018-05-03T08:12:00Z</dcterms:created>
  <dcterms:modified xsi:type="dcterms:W3CDTF">2018-05-03T08:12:00Z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01/02/2018, 26/01/2018, 26/01/2018, 03/08/2016, 03/08/2016, 02/02/2016, 02/02/2016, 02/02/2016, 08/09/2015, 08/09/2015</vt:lpwstr>
  </property>
  <property fmtid="{D5CDD505-2E9C-101B-9397-08002B2CF9AE}" pid="4" name="Pref_Time">
    <vt:lpwstr>12:53:49, 12:35:30, 12:02:08, 14:50:49, 14:46:47, 18:01:10, 17:26:47, 17:11:18, 10:46:50, 10:25:39</vt:lpwstr>
  </property>
  <property fmtid="{D5CDD505-2E9C-101B-9397-08002B2CF9AE}" pid="5" name="Pref_User">
    <vt:lpwstr>jhvi, jhvi, YMUR, amett, hnic, mreg, amett, htoo, amett, mreg</vt:lpwstr>
  </property>
  <property fmtid="{D5CDD505-2E9C-101B-9397-08002B2CF9AE}" pid="6" name="Pref_FileName">
    <vt:lpwstr>COR-2018-00441-00-01-TCD-ORI.docx, COR-2018-00441-00-00-TCD-TRA-EN-CRR.docx, COR-2018-00441-00-00-TCD-CRR-EN.docx, COR-2016-04433-00-00-TCD-TRA-EN-CRR.docx, COR-2016-04433-00-00-TCD-CRR-EN.docx, COR-2015-06785-00-01-TCD-ORI.docx, COR-2015-06785-00-01-TCD-</vt:lpwstr>
  </property>
  <property fmtid="{D5CDD505-2E9C-101B-9397-08002B2CF9AE}" pid="7" name="ContentTypeId">
    <vt:lpwstr>0x010100C05359D026D5844F9121FDC8959506FD</vt:lpwstr>
  </property>
  <property fmtid="{D5CDD505-2E9C-101B-9397-08002B2CF9AE}" pid="8" name="_dlc_DocIdItemGuid">
    <vt:lpwstr>3dfd224f-4a5a-455c-9744-675bb4fcd85f</vt:lpwstr>
  </property>
  <property fmtid="{D5CDD505-2E9C-101B-9397-08002B2CF9AE}" pid="9" name="DocumentType_0">
    <vt:lpwstr>TCD|cd9d6eb6-3f4f-424a-b2d1-57c9d450eaaf</vt:lpwstr>
  </property>
  <property fmtid="{D5CDD505-2E9C-101B-9397-08002B2CF9AE}" pid="10" name="AvailableTranslations">
    <vt:lpwstr>28;#PT|50ccc04a-eadd-42ae-a0cb-acaf45f812ba;#11;#ES|e7a6b05b-ae16-40c8-add9-68b64b03aeba;#26;#MT|7df99101-6854-4a26-b53a-b88c0da02c26;#40;#LT|a7ff5ce7-6123-4f68-865a-a57c31810414;#19;#PL|1e03da61-4678-4e07-b136-b5024ca9197b;#30;#LV|46f7e311-5d9f-4663-b433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ProductionDate">
    <vt:filetime>2018-02-01T12:00:00Z</vt:filetime>
  </property>
  <property fmtid="{D5CDD505-2E9C-101B-9397-08002B2CF9AE}" pid="14" name="DocumentNumber">
    <vt:i4>441</vt:i4>
  </property>
  <property fmtid="{D5CDD505-2E9C-101B-9397-08002B2CF9AE}" pid="15" name="FicheYear">
    <vt:i4>2018</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OriginalLanguage">
    <vt:lpwstr>4;#EN|f2175f21-25d7-44a3-96da-d6a61b075e1b</vt:lpwstr>
  </property>
  <property fmtid="{D5CDD505-2E9C-101B-9397-08002B2CF9AE}" pid="22" name="MeetingName">
    <vt:lpwstr>50;#SEDEC-VI|9dc7ca8b-742b-490e-a49f-907d997f3e13</vt:lpwstr>
  </property>
  <property fmtid="{D5CDD505-2E9C-101B-9397-08002B2CF9AE}" pid="23" name="MeetingDate">
    <vt:filetime>2018-02-21T12:00:00Z</vt:filetime>
  </property>
  <property fmtid="{D5CDD505-2E9C-101B-9397-08002B2CF9AE}" pid="24" name="TaxCatchAll">
    <vt:lpwstr>20;#TCD|cd9d6eb6-3f4f-424a-b2d1-57c9d450eaaf;#7;#Final|ea5e6674-7b27-4bac-b091-73adbb394efe;#50;#SEDEC-VI|9dc7ca8b-742b-490e-a49f-907d997f3e13;#5;#Unrestricted|826e22d7-d029-4ec0-a450-0c28ff673572;#4;#EN|f2175f21-25d7-44a3-96da-d6a61b075e1b;#2;#TRA|150d2a</vt:lpwstr>
  </property>
  <property fmtid="{D5CDD505-2E9C-101B-9397-08002B2CF9AE}" pid="25" name="DocumentLanguage_0">
    <vt:lpwstr>EN|f2175f21-25d7-44a3-96da-d6a61b075e1b</vt:lpwstr>
  </property>
  <property fmtid="{D5CDD505-2E9C-101B-9397-08002B2CF9AE}" pid="26" name="VersionStatus">
    <vt:lpwstr>7;#Final|ea5e6674-7b27-4bac-b091-73adbb394efe</vt:lpwstr>
  </property>
  <property fmtid="{D5CDD505-2E9C-101B-9397-08002B2CF9AE}" pid="27" name="VersionStatus_0">
    <vt:lpwstr>Final|ea5e6674-7b27-4bac-b091-73adbb394efe</vt:lpwstr>
  </property>
  <property fmtid="{D5CDD505-2E9C-101B-9397-08002B2CF9AE}" pid="28" name="FicheNumber">
    <vt:i4>1197</vt:i4>
  </property>
  <property fmtid="{D5CDD505-2E9C-101B-9397-08002B2CF9AE}" pid="29" name="DocumentYear">
    <vt:i4>2018</vt:i4>
  </property>
  <property fmtid="{D5CDD505-2E9C-101B-9397-08002B2CF9AE}" pid="30" name="DocumentSource">
    <vt:lpwstr>1;#CoR|cb2d75ef-4a7d-4393-b797-49ed6298a5ea</vt:lpwstr>
  </property>
  <property fmtid="{D5CDD505-2E9C-101B-9397-08002B2CF9AE}" pid="31" name="DocumentType">
    <vt:lpwstr>20;#TCD|cd9d6eb6-3f4f-424a-b2d1-57c9d450eaaf</vt:lpwstr>
  </property>
  <property fmtid="{D5CDD505-2E9C-101B-9397-08002B2CF9AE}" pid="32" name="DocumentPart">
    <vt:i4>0</vt:i4>
  </property>
  <property fmtid="{D5CDD505-2E9C-101B-9397-08002B2CF9AE}" pid="33" name="MeetingName_0">
    <vt:lpwstr>SEDEC-VI|9dc7ca8b-742b-490e-a49f-907d997f3e13</vt:lpwstr>
  </property>
  <property fmtid="{D5CDD505-2E9C-101B-9397-08002B2CF9AE}" pid="34" name="RequestingService">
    <vt:lpwstr>Commission SEDEC</vt:lpwstr>
  </property>
  <property fmtid="{D5CDD505-2E9C-101B-9397-08002B2CF9AE}" pid="35" name="DocumentLanguage">
    <vt:lpwstr>4;#EN|f2175f21-25d7-44a3-96da-d6a61b075e1b</vt:lpwstr>
  </property>
  <property fmtid="{D5CDD505-2E9C-101B-9397-08002B2CF9AE}" pid="36" name="DocumentStatus_0">
    <vt:lpwstr>TRA|150d2a88-1431-44e6-a8ca-0bb753ab8672</vt:lpwstr>
  </property>
  <property fmtid="{D5CDD505-2E9C-101B-9397-08002B2CF9AE}" pid="37" name="OriginalLanguage_0">
    <vt:lpwstr>EN|f2175f21-25d7-44a3-96da-d6a61b075e1b</vt:lpwstr>
  </property>
  <property fmtid="{D5CDD505-2E9C-101B-9397-08002B2CF9AE}" pid="38" name="AvailableTranslations_0">
    <vt:lpwstr>EN|f2175f21-25d7-44a3-96da-d6a61b075e1b</vt:lpwstr>
  </property>
  <property fmtid="{D5CDD505-2E9C-101B-9397-08002B2CF9AE}" pid="39" name="CorWebDocumentType">
    <vt:lpwstr/>
  </property>
  <property fmtid="{D5CDD505-2E9C-101B-9397-08002B2CF9AE}" pid="40" name="CorWebTheme">
    <vt:lpwstr/>
  </property>
  <property fmtid="{D5CDD505-2E9C-101B-9397-08002B2CF9AE}" pid="41" name="CorWebLanguage">
    <vt:lpwstr>1;#English|d891bae6-a181-4e69-b044-89dc4f0c00db</vt:lpwstr>
  </property>
  <property fmtid="{D5CDD505-2E9C-101B-9397-08002B2CF9AE}" pid="42" name="CorWebKeywords">
    <vt:lpwstr>658;#SEDEC (Social Policy, Education, Employment and Culture)|82f7130f-7421-47ad-bcb9-7437107a7c1f;#681;#Knowledge Exchange Platform|5411fd17-92ea-4895-80da-64d4ec6a87a6</vt:lpwstr>
  </property>
  <property fmtid="{D5CDD505-2E9C-101B-9397-08002B2CF9AE}" pid="43" name="Order">
    <vt:r8>280300</vt:r8>
  </property>
  <property fmtid="{D5CDD505-2E9C-101B-9397-08002B2CF9AE}" pid="44" name="CorWebDocumentSetLabel">
    <vt:lpwstr/>
  </property>
  <property fmtid="{D5CDD505-2E9C-101B-9397-08002B2CF9AE}" pid="45" name="xd_ProgID">
    <vt:lpwstr/>
  </property>
  <property fmtid="{D5CDD505-2E9C-101B-9397-08002B2CF9AE}" pid="46" name="DocumentSetDescription">
    <vt:lpwstr/>
  </property>
  <property fmtid="{D5CDD505-2E9C-101B-9397-08002B2CF9AE}" pid="47" name="_SourceUrl">
    <vt:lpwstr/>
  </property>
  <property fmtid="{D5CDD505-2E9C-101B-9397-08002B2CF9AE}" pid="48" name="_SharedFileIndex">
    <vt:lpwstr/>
  </property>
  <property fmtid="{D5CDD505-2E9C-101B-9397-08002B2CF9AE}" pid="49" name="CorWebIncaFolderReference">
    <vt:lpwstr/>
  </property>
  <property fmtid="{D5CDD505-2E9C-101B-9397-08002B2CF9AE}" pid="50" name="TemplateUrl">
    <vt:lpwstr/>
  </property>
  <property fmtid="{D5CDD505-2E9C-101B-9397-08002B2CF9AE}" pid="51" name="xd_Signature">
    <vt:bool>false</vt:bool>
  </property>
</Properties>
</file>