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14:paraId="666FCDA5" w14:textId="77777777">
        <w:trPr>
          <w:cantSplit/>
        </w:trPr>
        <w:tc>
          <w:tcPr>
            <w:tcW w:w="4644" w:type="dxa"/>
          </w:tcPr>
          <w:p w14:paraId="1B8991BB" w14:textId="77777777">
            <w:pPr>
              <w:rPr>
                <w:lang w:val="en-GB"/>
              </w:rPr>
            </w:pPr>
            <w:bookmarkStart w:name="_GoBack" w:id="0"/>
            <w:bookmarkEnd w:id="0"/>
            <w:r>
              <w:rPr>
                <w:noProof/>
              </w:rPr>
              <w:drawing>
                <wp:inline distT="0" distB="0" distL="0" distR="0" wp14:anchorId="504D63AE" wp14:editId="43F5F429">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14:paraId="07A8812A" w14:textId="12DEE94B">
            <w:pPr>
              <w:rPr>
                <w:lang w:val="en-GB"/>
              </w:rPr>
            </w:pPr>
          </w:p>
        </w:tc>
      </w:tr>
      <w:tr w14:paraId="7A701C09" w14:textId="77777777">
        <w:trPr>
          <w:cantSplit/>
        </w:trPr>
        <w:tc>
          <w:tcPr>
            <w:tcW w:w="9289" w:type="dxa"/>
            <w:gridSpan w:val="2"/>
          </w:tcPr>
          <w:p w14:paraId="6A312548" w14:textId="13351D9E">
            <w:pPr>
              <w:jc w:val="right"/>
              <w:rPr>
                <w:b/>
                <w:bCs/>
                <w:sz w:val="28"/>
                <w:lang w:val="en-GB"/>
              </w:rPr>
            </w:pPr>
            <w:r>
              <w:rPr>
                <w:b/>
                <w:bCs/>
                <w:sz w:val="28"/>
                <w:lang w:val="en-GB"/>
              </w:rPr>
              <w:t>COTER-VII/0</w:t>
            </w:r>
            <w:r>
              <w:rPr>
                <w:b/>
                <w:bCs/>
                <w:sz w:val="28"/>
                <w:lang w:val="en-GB"/>
              </w:rPr>
              <w:t>4</w:t>
            </w:r>
            <w:r>
              <w:rPr>
                <w:b/>
                <w:bCs/>
                <w:sz w:val="28"/>
                <w:lang w:val="en-GB"/>
              </w:rPr>
              <w:t>4</w:t>
            </w:r>
          </w:p>
        </w:tc>
      </w:tr>
      <w:tr w14:paraId="5A712DCF" w14:textId="77777777">
        <w:tc>
          <w:tcPr>
            <w:tcW w:w="9289" w:type="dxa"/>
            <w:gridSpan w:val="2"/>
          </w:tcPr>
          <w:p w14:paraId="39F08027" w14:textId="254180E6">
            <w:pPr>
              <w:jc w:val="center"/>
              <w:rPr>
                <w:b/>
                <w:bCs/>
                <w:sz w:val="28"/>
                <w:lang w:val="en-GB"/>
              </w:rPr>
            </w:pPr>
            <w:r>
              <w:rPr>
                <w:b/>
                <w:bCs/>
                <w:sz w:val="28"/>
                <w:lang w:val="en-GB"/>
              </w:rPr>
              <w:t>26</w:t>
            </w:r>
            <w:r>
              <w:rPr>
                <w:b/>
                <w:bCs/>
                <w:sz w:val="28"/>
                <w:lang w:val="en-GB"/>
              </w:rPr>
              <w:t xml:space="preserve">th </w:t>
            </w:r>
            <w:r>
              <w:rPr>
                <w:b/>
                <w:bCs/>
                <w:sz w:val="28"/>
                <w:lang w:val="en-GB"/>
              </w:rPr>
              <w:t>c</w:t>
            </w:r>
            <w:r>
              <w:rPr>
                <w:b/>
                <w:bCs/>
                <w:sz w:val="28"/>
                <w:lang w:val="en-GB"/>
              </w:rPr>
              <w:t>ommission meeting</w:t>
            </w:r>
            <w:r>
              <w:rPr>
                <w:b/>
                <w:bCs/>
                <w:sz w:val="28"/>
                <w:lang w:val="en-GB"/>
              </w:rPr>
              <w:t xml:space="preserve"> on</w:t>
            </w:r>
            <w:r>
              <w:rPr>
                <w:b/>
                <w:bCs/>
                <w:sz w:val="28"/>
                <w:lang w:val="en-GB"/>
              </w:rPr>
              <w:t xml:space="preserve"> </w:t>
            </w:r>
            <w:r>
              <w:rPr>
                <w:b/>
                <w:bCs/>
                <w:sz w:val="28"/>
                <w:lang w:val="en-GB"/>
              </w:rPr>
              <w:t>12 </w:t>
            </w:r>
            <w:r>
              <w:rPr>
                <w:b/>
                <w:bCs/>
                <w:sz w:val="28"/>
                <w:lang w:val="en-GB"/>
              </w:rPr>
              <w:t>December 2024</w:t>
            </w:r>
          </w:p>
        </w:tc>
      </w:tr>
    </w:tbl>
    <w:p w14:paraId="42F74FA4" w14:textId="77777777">
      <w:pPr>
        <w:rPr>
          <w:lang w:val="en-GB"/>
        </w:rPr>
      </w:pPr>
      <w:r>
        <w:rPr>
          <w:noProof/>
        </w:rPr>
        <mc:AlternateContent>
          <mc:Choice Requires="wps">
            <w:drawing>
              <wp:anchor distT="0" distB="0" distL="114300" distR="114300" simplePos="0" relativeHeight="251659264" behindDoc="1" locked="0" layoutInCell="0" allowOverlap="1" wp14:editId="3F182293" wp14:anchorId="4DA49C97">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2F84" w14:textId="77777777">
                            <w:pPr>
                              <w:jc w:val="center"/>
                              <w:rPr>
                                <w:rFonts w:ascii="Arial" w:hAnsi="Arial" w:cs="Arial"/>
                                <w:b/>
                                <w:bCs/>
                                <w:sz w:val="48"/>
                              </w:rPr>
                            </w:pPr>
                            <w:r>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DA49C97">
                <v:stroke joinstyle="miter"/>
                <v:path gradientshapeok="t" o:connecttype="rect"/>
              </v:shapetype>
              <v:shape id="Text Box 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14:paraId="0E472F84" w14:textId="77777777">
                      <w:pPr>
                        <w:jc w:val="center"/>
                        <w:rPr>
                          <w:rFonts w:ascii="Arial" w:hAnsi="Arial" w:cs="Arial"/>
                          <w:b/>
                          <w:bCs/>
                          <w:sz w:val="48"/>
                        </w:rPr>
                      </w:pPr>
                      <w:r>
                        <w:rPr>
                          <w:rFonts w:ascii="Arial" w:hAnsi="Arial" w:cs="Arial"/>
                          <w:b/>
                          <w:bCs/>
                          <w:sz w:val="48"/>
                        </w:rPr>
                        <w:t>EN</w:t>
                      </w:r>
                    </w:p>
                  </w:txbxContent>
                </v:textbox>
                <w10:wrap anchorx="page" anchory="page"/>
              </v:shape>
            </w:pict>
          </mc:Fallback>
        </mc:AlternateContent>
      </w:r>
    </w:p>
    <w:p w14:paraId="24B72092" w14:textId="77777777">
      <w:pPr>
        <w:rPr>
          <w:lang w:val="en-GB"/>
        </w:rPr>
      </w:pPr>
    </w:p>
    <w:p w14:paraId="20693A49" w14:textId="77777777">
      <w:pPr>
        <w:jc w:val="center"/>
        <w:rPr>
          <w:b/>
          <w:bCs/>
          <w:sz w:val="28"/>
          <w:lang w:val="en-GB"/>
        </w:rPr>
      </w:pPr>
      <w:r>
        <w:rPr>
          <w:b/>
          <w:bCs/>
          <w:sz w:val="28"/>
          <w:lang w:val="en-GB"/>
        </w:rPr>
        <w:t>WORKING DOCUMENT</w:t>
      </w:r>
    </w:p>
    <w:p w14:paraId="7FEDD3AA" w14:textId="77777777">
      <w:pPr>
        <w:rPr>
          <w:lang w:val="en-GB"/>
        </w:rPr>
      </w:pPr>
    </w:p>
    <w:p w14:paraId="61DE1618" w14:textId="77777777">
      <w:pPr>
        <w:jc w:val="center"/>
        <w:rPr>
          <w:b/>
          <w:bCs/>
          <w:sz w:val="28"/>
          <w:lang w:val="en-GB"/>
        </w:rPr>
      </w:pPr>
      <w:r>
        <w:rPr>
          <w:b/>
          <w:bCs/>
          <w:sz w:val="28"/>
          <w:lang w:val="en-GB"/>
        </w:rPr>
        <w:t xml:space="preserve">Commission for </w:t>
      </w:r>
      <w:r>
        <w:rPr>
          <w:b/>
          <w:sz w:val="28"/>
          <w:szCs w:val="28"/>
          <w:lang w:val="en-GB"/>
        </w:rPr>
        <w:t>Territorial Cohesion Policy and EU Budget</w:t>
      </w:r>
    </w:p>
    <w:p w14:paraId="200281F2" w14:textId="77777777">
      <w:pPr>
        <w:rPr>
          <w:lang w:val="en-GB"/>
        </w:rPr>
      </w:pPr>
    </w:p>
    <w:p w14:paraId="4E1B24BC" w14:textId="5EEF6360">
      <w:pPr>
        <w:jc w:val="center"/>
        <w:rPr>
          <w:b/>
          <w:bCs/>
          <w:sz w:val="28"/>
          <w:szCs w:val="28"/>
          <w:lang w:val="en-GB"/>
        </w:rPr>
      </w:pPr>
      <w:r>
        <w:rPr>
          <w:b/>
          <w:bCs/>
          <w:sz w:val="28"/>
          <w:szCs w:val="28"/>
          <w:lang w:val="en-GB"/>
        </w:rPr>
        <w:t xml:space="preserve">Metropolitan regions and functional urban areas as socio-economic drivers of sustainable investment in the 2020-2027 </w:t>
      </w:r>
      <w:r>
        <w:rPr>
          <w:b/>
          <w:bCs/>
          <w:sz w:val="28"/>
          <w:szCs w:val="28"/>
          <w:lang w:val="en-GB"/>
        </w:rPr>
        <w:t>c</w:t>
      </w:r>
      <w:r>
        <w:rPr>
          <w:b/>
          <w:bCs/>
          <w:sz w:val="28"/>
          <w:szCs w:val="28"/>
          <w:lang w:val="en-GB"/>
        </w:rPr>
        <w:t>ohesion policy framework</w:t>
      </w:r>
    </w:p>
    <w:p w14:paraId="7A5976C8" w14:textId="77777777">
      <w:pPr>
        <w:jc w:val="left"/>
        <w:rPr>
          <w:lang w:val="en-GB"/>
        </w:rPr>
      </w:pPr>
    </w:p>
    <w:p w14:paraId="552ED56F" w14:textId="77777777">
      <w:pPr>
        <w:rPr>
          <w:lang w:val="en-GB"/>
        </w:rPr>
      </w:pPr>
    </w:p>
    <w:tbl>
      <w:tblPr>
        <w:tblW w:w="5000" w:type="pct"/>
        <w:tblLook w:val="0000" w:firstRow="0" w:lastRow="0" w:firstColumn="0" w:lastColumn="0" w:noHBand="0" w:noVBand="0"/>
      </w:tblPr>
      <w:tblGrid>
        <w:gridCol w:w="9287"/>
      </w:tblGrid>
      <w:tr w14:paraId="272B43AB" w14:textId="77777777">
        <w:tc>
          <w:tcPr>
            <w:tcW w:w="5000" w:type="pct"/>
          </w:tcPr>
          <w:p w14:paraId="00BEEA0E" w14:textId="77777777">
            <w:pPr>
              <w:jc w:val="center"/>
              <w:rPr>
                <w:lang w:val="en-GB"/>
              </w:rPr>
            </w:pPr>
            <w:r>
              <w:rPr>
                <w:lang w:val="en-GB"/>
              </w:rPr>
              <w:t>_____________</w:t>
            </w:r>
          </w:p>
          <w:p w14:paraId="3725CFB0" w14:textId="77777777">
            <w:pPr>
              <w:jc w:val="center"/>
              <w:rPr>
                <w:lang w:val="en-GB"/>
              </w:rPr>
            </w:pPr>
          </w:p>
          <w:p w14:paraId="409D5A0C" w14:textId="4B34ED30">
            <w:pPr>
              <w:jc w:val="center"/>
              <w:rPr>
                <w:b/>
                <w:bCs/>
                <w:lang w:val="en-GB"/>
              </w:rPr>
            </w:pPr>
            <w:r>
              <w:rPr>
                <w:lang w:val="en-GB"/>
              </w:rPr>
              <w:t>Rapporteur:</w:t>
            </w:r>
            <w:r>
              <w:rPr>
                <w:b/>
                <w:bCs/>
                <w:lang w:val="en-GB"/>
              </w:rPr>
              <w:t xml:space="preserve"> </w:t>
            </w:r>
            <w:r>
              <w:rPr>
                <w:b/>
                <w:bCs/>
                <w:lang w:val="en-GB"/>
              </w:rPr>
              <w:t xml:space="preserve">Carmine </w:t>
            </w:r>
            <w:r>
              <w:rPr>
                <w:b/>
                <w:bCs/>
                <w:lang w:val="en-GB"/>
              </w:rPr>
              <w:t>PACENTE (IT/</w:t>
            </w:r>
            <w:r>
              <w:rPr>
                <w:lang w:val="en-GB"/>
              </w:rPr>
              <w:t xml:space="preserve"> </w:t>
            </w:r>
            <w:r>
              <w:rPr>
                <w:b/>
                <w:bCs/>
                <w:lang w:val="en-GB"/>
              </w:rPr>
              <w:t>renew E.)</w:t>
            </w:r>
          </w:p>
          <w:p w14:paraId="33323AF2" w14:textId="77777777">
            <w:pPr>
              <w:jc w:val="center"/>
              <w:rPr>
                <w:lang w:val="en-GB"/>
              </w:rPr>
            </w:pPr>
            <w:r>
              <w:rPr>
                <w:lang w:val="en-GB"/>
              </w:rPr>
              <w:t xml:space="preserve">Member of </w:t>
            </w:r>
            <w:r>
              <w:rPr>
                <w:lang w:val="en-GB"/>
              </w:rPr>
              <w:t xml:space="preserve">Milan </w:t>
            </w:r>
            <w:r>
              <w:rPr>
                <w:lang w:val="en-GB"/>
              </w:rPr>
              <w:t xml:space="preserve">City </w:t>
            </w:r>
            <w:r>
              <w:rPr>
                <w:lang w:val="en-GB"/>
              </w:rPr>
              <w:t>Council</w:t>
            </w:r>
          </w:p>
          <w:p w14:paraId="5CE49826" w14:textId="77777777">
            <w:pPr>
              <w:overflowPunct w:val="0"/>
              <w:autoSpaceDE w:val="0"/>
              <w:autoSpaceDN w:val="0"/>
              <w:adjustRightInd w:val="0"/>
              <w:jc w:val="center"/>
              <w:textAlignment w:val="baseline"/>
              <w:rPr>
                <w:lang w:val="en-GB"/>
              </w:rPr>
            </w:pPr>
            <w:r>
              <w:rPr>
                <w:lang w:val="en-GB"/>
              </w:rPr>
              <w:t>_____________</w:t>
            </w:r>
          </w:p>
          <w:p w14:paraId="6F944BC2" w14:textId="59F9BD6B">
            <w:pPr>
              <w:jc w:val="center"/>
              <w:rPr>
                <w:lang w:val="en-GB"/>
              </w:rPr>
            </w:pPr>
          </w:p>
        </w:tc>
      </w:tr>
    </w:tbl>
    <w:p w14:paraId="41CFCA11" w14:textId="77777777">
      <w:pPr>
        <w:jc w:val="left"/>
        <w:rPr>
          <w:lang w:val="en-GB"/>
        </w:rPr>
      </w:pPr>
    </w:p>
    <w:p w14:paraId="5B87CAF0" w14:textId="77777777">
      <w:pPr>
        <w:jc w:val="left"/>
        <w:rPr>
          <w:lang w:val="en-GB"/>
        </w:rPr>
      </w:pPr>
    </w:p>
    <w:p w14:paraId="03812E16" w14:textId="77777777">
      <w:pPr>
        <w:jc w:val="left"/>
        <w:rPr>
          <w:lang w:val="en-GB"/>
        </w:rPr>
      </w:pPr>
    </w:p>
    <w:p w14:paraId="0DD1ADC1" w14:textId="77777777">
      <w:pPr>
        <w:jc w:val="left"/>
        <w:rPr>
          <w:lang w:val="en-GB"/>
        </w:rPr>
      </w:pPr>
    </w:p>
    <w:p w14:paraId="40037B96" w14:textId="77777777">
      <w:pPr>
        <w:jc w:val="left"/>
        <w:rPr>
          <w:lang w:val="en-GB"/>
        </w:rPr>
      </w:pPr>
    </w:p>
    <w:p w14:paraId="60A9055A" w14:textId="77777777">
      <w:pPr>
        <w:jc w:val="left"/>
        <w:rPr>
          <w:lang w:val="en-GB"/>
        </w:rPr>
      </w:pPr>
    </w:p>
    <w:p w14:paraId="4F3F420F" w14:textId="77777777">
      <w:pPr>
        <w:jc w:val="left"/>
        <w:rPr>
          <w:lang w:val="en-GB"/>
        </w:rPr>
      </w:pPr>
    </w:p>
    <w:p w14:paraId="48D616A9" w14:textId="77777777">
      <w:pPr>
        <w:jc w:val="left"/>
        <w:rPr>
          <w:lang w:val="en-GB"/>
        </w:rPr>
      </w:pPr>
    </w:p>
    <w:p w14:paraId="583029BC" w14:textId="77777777">
      <w:pPr>
        <w:jc w:val="left"/>
        <w:rPr>
          <w:lang w:val="en-GB"/>
        </w:rPr>
      </w:pP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14:paraId="73D5852B" w14:textId="77777777">
        <w:tc>
          <w:tcPr>
            <w:tcW w:w="9289" w:type="dxa"/>
            <w:tcBorders>
              <w:top w:val="single" w:color="auto" w:sz="4" w:space="0"/>
              <w:bottom w:val="single" w:color="auto" w:sz="4" w:space="0"/>
            </w:tcBorders>
          </w:tcPr>
          <w:p w14:paraId="4ABDF10E" w14:textId="20C43F55">
            <w:pPr>
              <w:rPr>
                <w:bCs/>
                <w:iCs/>
                <w:color w:val="000000"/>
                <w:lang w:val="en-GB"/>
              </w:rPr>
            </w:pPr>
            <w:r>
              <w:rPr>
                <w:bCs/>
                <w:iCs/>
                <w:color w:val="000000"/>
                <w:lang w:val="en-GB"/>
              </w:rPr>
              <w:t xml:space="preserve">This document will be discussed at the meeting of the </w:t>
            </w:r>
            <w:r>
              <w:rPr>
                <w:b/>
                <w:bCs/>
                <w:iCs/>
                <w:color w:val="000000"/>
                <w:lang w:val="en-GB"/>
              </w:rPr>
              <w:t xml:space="preserve">Commission for </w:t>
            </w:r>
            <w:r>
              <w:rPr>
                <w:b/>
                <w:lang w:val="en-GB"/>
              </w:rPr>
              <w:t>Territorial Cohesion Policy and EU Budget</w:t>
            </w:r>
            <w:r>
              <w:rPr>
                <w:b/>
                <w:bCs/>
                <w:iCs/>
                <w:color w:val="000000"/>
                <w:lang w:val="en-GB"/>
              </w:rPr>
              <w:t xml:space="preserve"> </w:t>
            </w:r>
            <w:r>
              <w:rPr>
                <w:bCs/>
                <w:iCs/>
                <w:color w:val="000000"/>
                <w:lang w:val="en-GB"/>
              </w:rPr>
              <w:t xml:space="preserve">to be held </w:t>
            </w:r>
            <w:r>
              <w:rPr>
                <w:b/>
                <w:bCs/>
                <w:lang w:val="en-GB"/>
              </w:rPr>
              <w:t>from 11:00 to 17:30 on</w:t>
            </w:r>
            <w:r>
              <w:rPr>
                <w:lang w:val="en-GB"/>
              </w:rPr>
              <w:t xml:space="preserve"> </w:t>
            </w:r>
            <w:r>
              <w:rPr>
                <w:b/>
                <w:bCs/>
                <w:lang w:val="en-GB"/>
              </w:rPr>
              <w:t>12 </w:t>
            </w:r>
            <w:r>
              <w:rPr>
                <w:b/>
                <w:bCs/>
                <w:lang w:val="en-GB"/>
              </w:rPr>
              <w:t>December</w:t>
            </w:r>
            <w:r>
              <w:rPr>
                <w:szCs w:val="24"/>
                <w:lang w:val="en-GB"/>
              </w:rPr>
              <w:t>.</w:t>
            </w:r>
          </w:p>
        </w:tc>
      </w:tr>
    </w:tbl>
    <w:p w14:paraId="6162AFB7" w14:textId="51A27FD9">
      <w:pPr>
        <w:pStyle w:val="Heading1"/>
        <w:keepNext/>
        <w:numPr>
          <w:ilvl w:val="0"/>
          <w:numId w:val="0"/>
        </w:numPr>
        <w:rPr>
          <w:lang w:val="en-GB"/>
        </w:rPr>
      </w:pPr>
      <w:r>
        <w:rPr>
          <w:noProof/>
        </w:rPr>
        <w:drawing>
          <wp:anchor distT="0" distB="0" distL="114300" distR="114300" simplePos="0" relativeHeight="251662336" behindDoc="0" locked="0" layoutInCell="1" allowOverlap="1" wp14:editId="2066F8CF" wp14:anchorId="613AA4E0">
            <wp:simplePos x="0" y="0"/>
            <wp:positionH relativeFrom="column">
              <wp:posOffset>-14605</wp:posOffset>
            </wp:positionH>
            <wp:positionV relativeFrom="page">
              <wp:posOffset>10205720</wp:posOffset>
            </wp:positionV>
            <wp:extent cx="5779135" cy="2901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p w14:paraId="296EF1B6" w14:textId="77777777">
      <w:pPr>
        <w:spacing w:after="160" w:line="259" w:lineRule="auto"/>
        <w:jc w:val="left"/>
        <w:rPr>
          <w:lang w:val="en-GB"/>
        </w:rPr>
        <w:sectPr>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94" w:gutter="0"/>
          <w:pgNumType w:start="1"/>
          <w:cols w:space="720"/>
          <w:docGrid w:linePitch="360"/>
        </w:sectPr>
      </w:pPr>
    </w:p>
    <w:p w14:paraId="5599D6D8" w14:textId="28D63F34">
      <w:pPr>
        <w:rPr>
          <w:b/>
          <w:lang w:val="en-GB"/>
        </w:rPr>
      </w:pPr>
      <w:r>
        <w:rPr>
          <w:b/>
          <w:lang w:val="en-GB"/>
        </w:rPr>
        <w:lastRenderedPageBreak/>
        <w:t>Introduction and background</w:t>
      </w:r>
    </w:p>
    <w:p w14:paraId="1BF19D5A" w14:textId="77777777">
      <w:pPr>
        <w:rPr>
          <w:bCs/>
          <w:i/>
          <w:iCs/>
          <w:lang w:val="en-GB"/>
        </w:rPr>
      </w:pPr>
    </w:p>
    <w:p w14:paraId="73B507AE" w14:textId="23C9EAE9">
      <w:pPr>
        <w:rPr>
          <w:bCs/>
          <w:i/>
          <w:iCs/>
          <w:lang w:val="en-GB"/>
        </w:rPr>
      </w:pPr>
      <w:r>
        <w:rPr>
          <w:bCs/>
          <w:i/>
          <w:iCs/>
          <w:lang w:val="en-GB"/>
        </w:rPr>
        <w:t>Policy context and analysis of the policy area</w:t>
      </w:r>
    </w:p>
    <w:p w14:paraId="1B37F50F" w14:textId="77777777">
      <w:pPr>
        <w:rPr>
          <w:bCs/>
          <w:i/>
          <w:iCs/>
          <w:lang w:val="en-GB"/>
        </w:rPr>
      </w:pPr>
    </w:p>
    <w:p w14:paraId="5D6B7CE0" w14:textId="79C67FD6">
      <w:pPr>
        <w:pStyle w:val="Heading1"/>
        <w:numPr>
          <w:ilvl w:val="0"/>
          <w:numId w:val="0"/>
        </w:numPr>
        <w:rPr>
          <w:rFonts w:cstheme="minorBidi"/>
          <w:lang w:val="en-GB"/>
        </w:rPr>
      </w:pPr>
      <w:r>
        <w:rPr>
          <w:rFonts w:cstheme="minorBidi"/>
          <w:lang w:val="en-GB"/>
        </w:rPr>
        <w:t xml:space="preserve">EU urban policy </w:t>
      </w:r>
      <w:r>
        <w:rPr>
          <w:rFonts w:cstheme="minorBidi"/>
          <w:lang w:val="en-GB"/>
        </w:rPr>
        <w:t xml:space="preserve">has been </w:t>
      </w:r>
      <w:r>
        <w:rPr>
          <w:rFonts w:cstheme="minorBidi"/>
          <w:lang w:val="en-GB"/>
        </w:rPr>
        <w:t xml:space="preserve">aligned </w:t>
      </w:r>
      <w:r>
        <w:rPr>
          <w:rFonts w:cstheme="minorBidi"/>
          <w:lang w:val="en-GB"/>
        </w:rPr>
        <w:t xml:space="preserve">with </w:t>
      </w:r>
      <w:r>
        <w:rPr>
          <w:rFonts w:cstheme="minorBidi"/>
          <w:lang w:val="en-GB"/>
        </w:rPr>
        <w:t xml:space="preserve">EU cohesion policy to promote harmonious development </w:t>
      </w:r>
      <w:r>
        <w:rPr>
          <w:rFonts w:cstheme="minorBidi"/>
          <w:lang w:val="en-GB"/>
        </w:rPr>
        <w:t>to overcome</w:t>
      </w:r>
      <w:r>
        <w:rPr>
          <w:rFonts w:cstheme="minorBidi"/>
          <w:lang w:val="en-GB"/>
        </w:rPr>
        <w:t xml:space="preserve"> regional disparities and strengthen economic, social and territorial cohesion in line with Article 174 TFEU. The debate on urban policy takes place at intergovernmental level between EU ministers responsible for urban matters and has led to the consolidation of an EU </w:t>
      </w:r>
      <w:r>
        <w:rPr>
          <w:rFonts w:cstheme="minorBidi"/>
          <w:lang w:val="en-GB"/>
        </w:rPr>
        <w:t>‘</w:t>
      </w:r>
      <w:r>
        <w:rPr>
          <w:rFonts w:cstheme="minorBidi"/>
          <w:lang w:val="en-GB"/>
        </w:rPr>
        <w:t>urban acquis</w:t>
      </w:r>
      <w:r>
        <w:rPr>
          <w:rFonts w:cstheme="minorBidi"/>
          <w:lang w:val="en-GB"/>
        </w:rPr>
        <w:t>’</w:t>
      </w:r>
      <w:r>
        <w:rPr>
          <w:rFonts w:cstheme="minorBidi"/>
          <w:lang w:val="en-GB"/>
        </w:rPr>
        <w:t>, later translated into an EU policy framework for sustainable urban development in Europe and the Urban Agenda for the EU:</w:t>
      </w:r>
    </w:p>
    <w:p w14:paraId="20E7A1F2" w14:textId="77777777">
      <w:pPr>
        <w:rPr>
          <w:lang w:val="en-GB"/>
        </w:rPr>
      </w:pPr>
    </w:p>
    <w:p w14:paraId="7FA27364" w14:textId="4F233B76">
      <w:pPr>
        <w:pStyle w:val="Heading1"/>
        <w:numPr>
          <w:ilvl w:val="0"/>
          <w:numId w:val="35"/>
        </w:numPr>
        <w:ind w:left="567" w:hanging="567"/>
        <w:rPr>
          <w:rFonts w:cstheme="minorHAnsi"/>
          <w:lang w:val="en-GB"/>
        </w:rPr>
      </w:pPr>
      <w:r>
        <w:rPr>
          <w:rFonts w:cstheme="minorHAnsi"/>
          <w:lang w:val="en-GB"/>
        </w:rPr>
        <w:t xml:space="preserve">The </w:t>
      </w:r>
      <w:hyperlink w:history="1" r:id="rId19">
        <w:r>
          <w:rPr>
            <w:rStyle w:val="Hyperlink"/>
            <w:rFonts w:cstheme="minorHAnsi"/>
            <w:b/>
            <w:bCs/>
            <w:lang w:val="en-GB"/>
          </w:rPr>
          <w:t>Pact of Amsterdam</w:t>
        </w:r>
      </w:hyperlink>
      <w:r>
        <w:rPr>
          <w:rFonts w:cstheme="minorHAnsi"/>
          <w:lang w:val="en-GB"/>
        </w:rPr>
        <w:t xml:space="preserve"> is the founding document for the Urban Agenda for the EU, </w:t>
      </w:r>
      <w:r>
        <w:rPr>
          <w:rFonts w:cstheme="minorHAnsi"/>
          <w:lang w:val="en-GB"/>
        </w:rPr>
        <w:t xml:space="preserve">and </w:t>
      </w:r>
      <w:r>
        <w:rPr>
          <w:rFonts w:cstheme="minorHAnsi"/>
          <w:lang w:val="en-GB"/>
        </w:rPr>
        <w:t>was launched in 2016.</w:t>
      </w:r>
    </w:p>
    <w:p w14:paraId="1631B140" w14:textId="3FB684A0">
      <w:pPr>
        <w:pStyle w:val="Heading1"/>
        <w:numPr>
          <w:ilvl w:val="0"/>
          <w:numId w:val="35"/>
        </w:numPr>
        <w:ind w:left="567" w:hanging="567"/>
        <w:rPr>
          <w:rFonts w:cstheme="minorHAnsi"/>
          <w:lang w:val="en-GB"/>
        </w:rPr>
      </w:pPr>
      <w:r>
        <w:rPr>
          <w:rFonts w:cstheme="minorHAnsi"/>
          <w:lang w:val="en-GB"/>
        </w:rPr>
        <w:t xml:space="preserve">The </w:t>
      </w:r>
      <w:hyperlink w:history="1" r:id="rId20">
        <w:r>
          <w:rPr>
            <w:rStyle w:val="Hyperlink"/>
            <w:rFonts w:cstheme="minorHAnsi"/>
            <w:b/>
            <w:bCs/>
            <w:lang w:val="en-GB"/>
          </w:rPr>
          <w:t>New Leipzig Charter</w:t>
        </w:r>
      </w:hyperlink>
      <w:r>
        <w:t xml:space="preserve"> </w:t>
      </w:r>
      <w:r>
        <w:rPr>
          <w:rFonts w:cstheme="minorHAnsi"/>
          <w:lang w:val="en-GB"/>
        </w:rPr>
        <w:t xml:space="preserve">adopted by EU ministers responsible for urban matters in November 2020 sets strategic principles of good urban governance and provides a framework guiding post-2020 urban policy coordination in Europe and defines green, just and productive cities, social innovation and green transition, </w:t>
      </w:r>
      <w:r>
        <w:rPr>
          <w:rFonts w:cstheme="minorHAnsi"/>
          <w:lang w:val="en-GB"/>
        </w:rPr>
        <w:t xml:space="preserve">and </w:t>
      </w:r>
      <w:r>
        <w:rPr>
          <w:rFonts w:cstheme="minorHAnsi"/>
          <w:lang w:val="en-GB"/>
        </w:rPr>
        <w:t>integrated and urban development strategies at neighbo</w:t>
      </w:r>
      <w:r>
        <w:rPr>
          <w:rFonts w:cstheme="minorHAnsi"/>
          <w:lang w:val="en-GB"/>
        </w:rPr>
        <w:t>u</w:t>
      </w:r>
      <w:r>
        <w:rPr>
          <w:rFonts w:cstheme="minorHAnsi"/>
          <w:lang w:val="en-GB"/>
        </w:rPr>
        <w:t>rhood or functional area level.</w:t>
      </w:r>
    </w:p>
    <w:p w14:paraId="0B69A9B6" w14:textId="6ACC113C">
      <w:pPr>
        <w:pStyle w:val="Heading1"/>
        <w:numPr>
          <w:ilvl w:val="0"/>
          <w:numId w:val="35"/>
        </w:numPr>
        <w:ind w:left="567" w:hanging="567"/>
        <w:rPr>
          <w:rFonts w:cstheme="minorHAnsi"/>
          <w:lang w:val="en-GB"/>
        </w:rPr>
      </w:pPr>
      <w:r>
        <w:rPr>
          <w:rFonts w:cstheme="minorHAnsi"/>
          <w:lang w:val="en-GB"/>
        </w:rPr>
        <w:t xml:space="preserve">The </w:t>
      </w:r>
      <w:hyperlink w:history="1" r:id="rId21">
        <w:r>
          <w:rPr>
            <w:rStyle w:val="Hyperlink"/>
            <w:rFonts w:cstheme="minorHAnsi"/>
            <w:b/>
            <w:bCs/>
            <w:lang w:val="en-GB"/>
          </w:rPr>
          <w:t>Territorial Agenda 2030</w:t>
        </w:r>
      </w:hyperlink>
      <w:r>
        <w:rPr>
          <w:rFonts w:cstheme="minorHAnsi"/>
          <w:lang w:val="en-GB"/>
        </w:rPr>
        <w:t xml:space="preserve"> adopted by EU ministers responsible for spatial planning, territorial development and/or territorial cohesion in December 2020 is a strategic framework document that underlines the importance of and provides orientation for strategic spatial planning and calls for strengthening the territorial dimension of sector policies at all governance levels.</w:t>
      </w:r>
    </w:p>
    <w:p w14:paraId="7AE49E01" w14:textId="7FC1520B">
      <w:pPr>
        <w:pStyle w:val="Heading1"/>
        <w:numPr>
          <w:ilvl w:val="0"/>
          <w:numId w:val="0"/>
        </w:numPr>
        <w:rPr>
          <w:rFonts w:cstheme="minorHAnsi"/>
          <w:bCs/>
          <w:lang w:val="en-GB"/>
        </w:rPr>
      </w:pPr>
    </w:p>
    <w:p w14:paraId="6FA06D34" w14:textId="74A43AA4">
      <w:pPr>
        <w:pStyle w:val="Heading1"/>
        <w:keepNext/>
        <w:numPr>
          <w:ilvl w:val="0"/>
          <w:numId w:val="0"/>
        </w:numPr>
        <w:rPr>
          <w:rFonts w:cstheme="minorHAnsi"/>
          <w:bCs/>
          <w:i/>
          <w:iCs/>
          <w:lang w:val="en-GB"/>
        </w:rPr>
      </w:pPr>
      <w:r>
        <w:rPr>
          <w:rFonts w:cstheme="minorHAnsi"/>
          <w:bCs/>
          <w:i/>
          <w:iCs/>
          <w:lang w:val="en-GB"/>
        </w:rPr>
        <w:t>Why is the topic relevant for local and regional authorities in the EU?</w:t>
      </w:r>
    </w:p>
    <w:p w14:paraId="5B6AA435" w14:textId="77777777">
      <w:pPr>
        <w:keepNext/>
        <w:rPr>
          <w:lang w:val="en-GB"/>
        </w:rPr>
      </w:pPr>
    </w:p>
    <w:p w14:paraId="788A45AB" w14:textId="5A2C69BF">
      <w:pPr>
        <w:pStyle w:val="Heading1"/>
        <w:numPr>
          <w:ilvl w:val="0"/>
          <w:numId w:val="0"/>
        </w:numPr>
        <w:rPr>
          <w:rFonts w:cstheme="minorBidi"/>
          <w:lang w:val="en-GB"/>
        </w:rPr>
      </w:pPr>
      <w:r>
        <w:rPr>
          <w:rFonts w:cstheme="minorBidi"/>
          <w:lang w:val="en-GB"/>
        </w:rPr>
        <w:t>Migration from rural to urban areas in Europe is rapidly increasing, with the level of urbani</w:t>
      </w:r>
      <w:r>
        <w:rPr>
          <w:rFonts w:cstheme="minorBidi"/>
          <w:lang w:val="en-GB"/>
        </w:rPr>
        <w:t>s</w:t>
      </w:r>
      <w:r>
        <w:rPr>
          <w:rFonts w:cstheme="minorBidi"/>
          <w:lang w:val="en-GB"/>
        </w:rPr>
        <w:t>ation expected to increase to approximately 84% in 2050, combined with a tendency of continuing urban sprawl and merging of urban zones into metropolitan areas</w:t>
      </w:r>
      <w:r>
        <w:rPr>
          <w:rFonts w:cstheme="minorBidi"/>
          <w:sz w:val="24"/>
          <w:szCs w:val="24"/>
          <w:vertAlign w:val="superscript"/>
          <w:lang w:val="en-GB"/>
        </w:rPr>
        <w:footnoteReference w:id="1"/>
      </w:r>
      <w:r>
        <w:rPr>
          <w:rFonts w:cstheme="minorBidi"/>
          <w:lang w:val="en-GB"/>
        </w:rPr>
        <w:t>. Metropolitan regions</w:t>
      </w:r>
      <w:r>
        <w:rPr>
          <w:rFonts w:cstheme="minorBidi"/>
          <w:sz w:val="24"/>
          <w:szCs w:val="24"/>
          <w:vertAlign w:val="superscript"/>
          <w:lang w:val="en-GB"/>
        </w:rPr>
        <w:footnoteReference w:id="2"/>
      </w:r>
      <w:r>
        <w:rPr>
          <w:rFonts w:cstheme="minorBidi"/>
          <w:lang w:val="en-GB"/>
        </w:rPr>
        <w:t xml:space="preserve"> are considered to be engines of economic growth and centres of research and innovation, cultural and social progress. However, the density of settlement and the larger interdependencies introduce various challenges. It is </w:t>
      </w:r>
      <w:r>
        <w:rPr>
          <w:rFonts w:cstheme="minorBidi"/>
          <w:b/>
          <w:bCs/>
          <w:lang w:val="en-GB"/>
        </w:rPr>
        <w:t>local authorities who are at the forefront of grasping these opportunities and addressing the challenges by ensuring integrated urban development strategies</w:t>
      </w:r>
      <w:r>
        <w:rPr>
          <w:rFonts w:cstheme="minorBidi"/>
          <w:lang w:val="en-GB"/>
        </w:rPr>
        <w:t xml:space="preserve"> that provide well-designed and implemented policies to achieve sustainable urban growth. The need for </w:t>
      </w:r>
      <w:r>
        <w:rPr>
          <w:rFonts w:cstheme="minorBidi"/>
          <w:b/>
          <w:bCs/>
          <w:lang w:val="en-GB"/>
        </w:rPr>
        <w:t xml:space="preserve">integrated and coordinated actions among territories </w:t>
      </w:r>
      <w:r>
        <w:rPr>
          <w:rFonts w:cstheme="minorBidi"/>
          <w:lang w:val="en-GB"/>
        </w:rPr>
        <w:t xml:space="preserve">is also reflected in increasing attention to </w:t>
      </w:r>
      <w:r>
        <w:rPr>
          <w:rFonts w:cstheme="minorBidi"/>
          <w:b/>
          <w:bCs/>
          <w:lang w:val="en-GB"/>
        </w:rPr>
        <w:t xml:space="preserve">functional area approaches </w:t>
      </w:r>
      <w:r>
        <w:rPr>
          <w:rFonts w:cstheme="minorBidi"/>
          <w:lang w:val="en-GB"/>
        </w:rPr>
        <w:t>to promote urban development. This focus also led to the introduction of a general definition of functional urban areas in the EU in 2019</w:t>
      </w:r>
      <w:r>
        <w:rPr>
          <w:rFonts w:cstheme="minorBidi"/>
          <w:sz w:val="24"/>
          <w:szCs w:val="24"/>
          <w:vertAlign w:val="superscript"/>
          <w:lang w:val="en-GB"/>
        </w:rPr>
        <w:footnoteReference w:id="3"/>
      </w:r>
      <w:r>
        <w:rPr>
          <w:rFonts w:cstheme="minorBidi"/>
          <w:lang w:val="en-GB"/>
        </w:rPr>
        <w:t>.</w:t>
      </w:r>
    </w:p>
    <w:p w14:paraId="609B5E2E" w14:textId="5C21C6FF">
      <w:pPr>
        <w:rPr>
          <w:lang w:val="en-GB"/>
        </w:rPr>
      </w:pPr>
    </w:p>
    <w:p w14:paraId="6B9FB2F8" w14:textId="3677BA26">
      <w:pPr>
        <w:pStyle w:val="Heading1"/>
        <w:keepNext/>
        <w:numPr>
          <w:ilvl w:val="0"/>
          <w:numId w:val="0"/>
        </w:numPr>
        <w:rPr>
          <w:rFonts w:cstheme="minorHAnsi"/>
          <w:lang w:val="en-GB"/>
        </w:rPr>
      </w:pPr>
      <w:r>
        <w:rPr>
          <w:rFonts w:cstheme="minorHAnsi"/>
          <w:noProof/>
        </w:rPr>
        <w:drawing>
          <wp:inline distT="0" distB="0" distL="0" distR="0" wp14:anchorId="0408E809" wp14:editId="7BBA72D3">
            <wp:extent cx="5724525" cy="3505200"/>
            <wp:effectExtent l="0" t="0" r="9525" b="0"/>
            <wp:docPr id="672249353" name="Immagine 5"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49353" name="Immagine 5" descr="Immagine che contiene testo, schermata, Carattere, numero&#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4525" cy="3505200"/>
                    </a:xfrm>
                    <a:prstGeom prst="rect">
                      <a:avLst/>
                    </a:prstGeom>
                    <a:noFill/>
                    <a:ln>
                      <a:noFill/>
                    </a:ln>
                  </pic:spPr>
                </pic:pic>
              </a:graphicData>
            </a:graphic>
          </wp:inline>
        </w:drawing>
      </w:r>
    </w:p>
    <w:p w14:paraId="0E37F601" w14:textId="77777777">
      <w:pPr>
        <w:pStyle w:val="Heading1"/>
        <w:numPr>
          <w:ilvl w:val="0"/>
          <w:numId w:val="0"/>
        </w:numPr>
        <w:rPr>
          <w:rFonts w:cstheme="minorHAnsi"/>
          <w:lang w:val="en-GB"/>
        </w:rPr>
      </w:pPr>
    </w:p>
    <w:p w14:paraId="68A1CC0D" w14:textId="3FDBA734">
      <w:pPr>
        <w:pStyle w:val="Heading1"/>
        <w:keepNext/>
        <w:numPr>
          <w:ilvl w:val="0"/>
          <w:numId w:val="0"/>
        </w:numPr>
        <w:rPr>
          <w:rFonts w:cstheme="minorHAnsi"/>
          <w:lang w:val="en-GB"/>
        </w:rPr>
      </w:pPr>
      <w:r>
        <w:rPr>
          <w:rFonts w:cstheme="minorHAnsi"/>
          <w:lang w:val="en-GB"/>
        </w:rPr>
        <w:t xml:space="preserve">The concept of functional urban areas is becoming increasingly relevant to various EU policies and therefore they benefit from diverse EU funds due to their mixed urban, suburban and rural characteristics. With the introduction of the European Green Deal, the EU has launched different initiatives towards cities in support of green, digital and inclusive transformations, but </w:t>
      </w:r>
      <w:r>
        <w:rPr>
          <w:rFonts w:cstheme="minorHAnsi"/>
          <w:b/>
          <w:bCs/>
          <w:lang w:val="en-GB"/>
        </w:rPr>
        <w:t>cohesion policy remains the main EU source of support for sustainable urban development</w:t>
      </w:r>
      <w:r>
        <w:rPr>
          <w:rFonts w:cstheme="minorHAnsi"/>
          <w:lang w:val="en-GB"/>
        </w:rPr>
        <w:t xml:space="preserve"> with a financial envelope of </w:t>
      </w:r>
      <w:r>
        <w:rPr>
          <w:rFonts w:cstheme="minorHAnsi"/>
          <w:lang w:val="en-GB"/>
        </w:rPr>
        <w:t>EUR </w:t>
      </w:r>
      <w:r>
        <w:rPr>
          <w:rFonts w:cstheme="minorHAnsi"/>
          <w:lang w:val="en-GB"/>
        </w:rPr>
        <w:t>24.</w:t>
      </w:r>
      <w:r>
        <w:rPr>
          <w:rFonts w:cstheme="minorHAnsi"/>
          <w:lang w:val="en-GB"/>
        </w:rPr>
        <w:t>4 </w:t>
      </w:r>
      <w:r>
        <w:rPr>
          <w:rFonts w:cstheme="minorHAnsi"/>
          <w:lang w:val="en-GB"/>
        </w:rPr>
        <w:t>billion from the European Regional and Development Fund (ERDF) in the 2021-2027 period.</w:t>
      </w:r>
    </w:p>
    <w:p w14:paraId="5AC74E59" w14:textId="77777777">
      <w:pPr>
        <w:rPr>
          <w:lang w:val="en-GB"/>
        </w:rPr>
      </w:pPr>
    </w:p>
    <w:p w14:paraId="221E0796" w14:textId="7B5D77FF">
      <w:pPr>
        <w:pStyle w:val="Heading1"/>
        <w:numPr>
          <w:ilvl w:val="0"/>
          <w:numId w:val="0"/>
        </w:numPr>
        <w:rPr>
          <w:rFonts w:cstheme="minorHAnsi"/>
          <w:lang w:val="en-GB"/>
        </w:rPr>
      </w:pPr>
      <w:r>
        <w:rPr>
          <w:rFonts w:cstheme="minorHAnsi"/>
          <w:lang w:val="en-GB"/>
        </w:rPr>
        <w:t xml:space="preserve">Since the 2014-2020 programming period, </w:t>
      </w:r>
      <w:hyperlink w:history="1" r:id="rId23">
        <w:r>
          <w:rPr>
            <w:rStyle w:val="Hyperlink"/>
            <w:rFonts w:cstheme="minorHAnsi"/>
            <w:b/>
            <w:bCs/>
            <w:lang w:val="en-GB"/>
          </w:rPr>
          <w:t>cohesion policy</w:t>
        </w:r>
      </w:hyperlink>
      <w:r>
        <w:t xml:space="preserve"> </w:t>
      </w:r>
      <w:r>
        <w:rPr>
          <w:rFonts w:cstheme="minorHAnsi"/>
          <w:lang w:val="en-GB"/>
        </w:rPr>
        <w:t xml:space="preserve">has supported </w:t>
      </w:r>
      <w:r>
        <w:rPr>
          <w:rFonts w:cstheme="minorHAnsi"/>
          <w:lang w:val="en-GB"/>
        </w:rPr>
        <w:t>territorial and urban development strategies and empower</w:t>
      </w:r>
      <w:r>
        <w:rPr>
          <w:rFonts w:cstheme="minorHAnsi"/>
          <w:lang w:val="en-GB"/>
        </w:rPr>
        <w:t>ed</w:t>
      </w:r>
      <w:r>
        <w:rPr>
          <w:rFonts w:cstheme="minorHAnsi"/>
          <w:lang w:val="en-GB"/>
        </w:rPr>
        <w:t xml:space="preserve"> urban authorities and territorial bodies in the management of EU funds with strong local partnerships. Integrated Territorial Investment (ITI) and Community-Led Local Development (CLLD) territorial tools have been deployed to implement these strategies. In </w:t>
      </w:r>
      <w:r>
        <w:rPr>
          <w:rFonts w:cstheme="minorHAnsi"/>
          <w:lang w:val="en-GB"/>
        </w:rPr>
        <w:t xml:space="preserve">the </w:t>
      </w:r>
      <w:r>
        <w:rPr>
          <w:rFonts w:cstheme="minorHAnsi"/>
          <w:lang w:val="en-GB"/>
        </w:rPr>
        <w:t xml:space="preserve">2021-2027 programming period EU Member </w:t>
      </w:r>
      <w:r>
        <w:rPr>
          <w:rFonts w:cstheme="minorHAnsi"/>
          <w:lang w:val="en-GB"/>
        </w:rPr>
        <w:t>S</w:t>
      </w:r>
      <w:r>
        <w:rPr>
          <w:rFonts w:cstheme="minorHAnsi"/>
          <w:lang w:val="en-GB"/>
        </w:rPr>
        <w:t>tates allocated 12% of the total ERDF for sustainable urban development.</w:t>
      </w:r>
    </w:p>
    <w:p w14:paraId="736D1BCB" w14:textId="77777777">
      <w:pPr>
        <w:rPr>
          <w:lang w:val="en-GB"/>
        </w:rPr>
      </w:pPr>
    </w:p>
    <w:p w14:paraId="7515B871" w14:textId="14813C22">
      <w:pPr>
        <w:pStyle w:val="Heading1"/>
        <w:keepNext/>
        <w:numPr>
          <w:ilvl w:val="0"/>
          <w:numId w:val="0"/>
        </w:numPr>
        <w:rPr>
          <w:rFonts w:cstheme="minorHAnsi"/>
          <w:u w:val="single"/>
          <w:lang w:val="en-GB"/>
        </w:rPr>
      </w:pPr>
      <w:r>
        <w:rPr>
          <w:rFonts w:cstheme="minorHAnsi"/>
          <w:u w:val="single"/>
          <w:lang w:val="en-GB"/>
        </w:rPr>
        <w:t>Funding to sustainable urban development, by specific objective 2021-2027</w:t>
      </w:r>
    </w:p>
    <w:p w14:paraId="5D51B4AB" w14:textId="1BB26009">
      <w:pPr>
        <w:pStyle w:val="Heading1"/>
        <w:keepNext/>
        <w:numPr>
          <w:ilvl w:val="0"/>
          <w:numId w:val="0"/>
        </w:numPr>
        <w:rPr>
          <w:rFonts w:cstheme="minorHAnsi"/>
          <w:u w:val="single"/>
          <w:lang w:val="en-GB"/>
        </w:rPr>
      </w:pPr>
      <w:r>
        <w:rPr>
          <w:rFonts w:cstheme="minorHAnsi"/>
          <w:noProof/>
        </w:rPr>
        <w:drawing>
          <wp:inline distT="0" distB="0" distL="0" distR="0" wp14:anchorId="64BA62C1" wp14:editId="44D1A414">
            <wp:extent cx="5873518" cy="2443945"/>
            <wp:effectExtent l="0" t="0" r="0" b="0"/>
            <wp:docPr id="173736078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73214" cy="2485428"/>
                    </a:xfrm>
                    <a:prstGeom prst="rect">
                      <a:avLst/>
                    </a:prstGeom>
                    <a:noFill/>
                    <a:ln>
                      <a:noFill/>
                    </a:ln>
                  </pic:spPr>
                </pic:pic>
              </a:graphicData>
            </a:graphic>
          </wp:inline>
        </w:drawing>
      </w:r>
    </w:p>
    <w:p w14:paraId="228CFA6F" w14:textId="77777777">
      <w:pPr>
        <w:pStyle w:val="Heading1"/>
        <w:numPr>
          <w:ilvl w:val="0"/>
          <w:numId w:val="0"/>
        </w:numPr>
        <w:rPr>
          <w:rFonts w:cstheme="minorHAnsi"/>
          <w:u w:val="single"/>
          <w:lang w:val="en-GB"/>
        </w:rPr>
      </w:pPr>
      <w:r>
        <w:rPr>
          <w:rFonts w:cstheme="minorHAnsi"/>
          <w:i/>
          <w:iCs/>
          <w:lang w:val="en-GB"/>
        </w:rPr>
        <w:t>Source: Cohesion Open Data Platform</w:t>
      </w:r>
    </w:p>
    <w:p w14:paraId="05392800" w14:textId="77777777">
      <w:pPr>
        <w:pStyle w:val="Heading1"/>
        <w:numPr>
          <w:ilvl w:val="0"/>
          <w:numId w:val="0"/>
        </w:numPr>
        <w:rPr>
          <w:rFonts w:cstheme="minorHAnsi"/>
          <w:lang w:val="en-GB"/>
        </w:rPr>
      </w:pPr>
    </w:p>
    <w:p w14:paraId="157046E6" w14:textId="446FEFFC">
      <w:pPr>
        <w:pStyle w:val="Heading1"/>
        <w:numPr>
          <w:ilvl w:val="0"/>
          <w:numId w:val="0"/>
        </w:numPr>
        <w:rPr>
          <w:rFonts w:cstheme="minorHAnsi"/>
          <w:lang w:val="en-GB"/>
        </w:rPr>
      </w:pPr>
      <w:r>
        <w:rPr>
          <w:rFonts w:cstheme="minorHAnsi"/>
          <w:lang w:val="en-GB"/>
        </w:rPr>
        <w:t>Place-based and functional area approaches are well recogni</w:t>
      </w:r>
      <w:r>
        <w:rPr>
          <w:rFonts w:cstheme="minorHAnsi"/>
          <w:lang w:val="en-GB"/>
        </w:rPr>
        <w:t>s</w:t>
      </w:r>
      <w:r>
        <w:rPr>
          <w:rFonts w:cstheme="minorHAnsi"/>
          <w:lang w:val="en-GB"/>
        </w:rPr>
        <w:t>ed in cohesion policy as drivers of regional and rural attractiveness and reinforcement of urban-rural linkages, with targeted support below national level</w:t>
      </w:r>
      <w:r>
        <w:rPr>
          <w:rFonts w:cstheme="minorHAnsi"/>
          <w:lang w:val="en-GB"/>
        </w:rPr>
        <w:t xml:space="preserve"> –</w:t>
      </w:r>
      <w:r>
        <w:rPr>
          <w:rFonts w:cstheme="minorHAnsi"/>
          <w:lang w:val="en-GB"/>
        </w:rPr>
        <w:t xml:space="preserve"> to regions and cities. However, there is still a </w:t>
      </w:r>
      <w:r>
        <w:rPr>
          <w:rFonts w:cstheme="minorHAnsi"/>
          <w:b/>
          <w:bCs/>
          <w:lang w:val="en-GB"/>
        </w:rPr>
        <w:t>need to enhance multi-level governance and the mechanisms of collaboration at all levels</w:t>
      </w:r>
      <w:r>
        <w:rPr>
          <w:rFonts w:cstheme="minorHAnsi"/>
          <w:lang w:val="en-GB"/>
        </w:rPr>
        <w:t xml:space="preserve"> (local-regional-national) to ensure effective cooperation in strategic (spatial and urban) planning and to better address </w:t>
      </w:r>
      <w:r>
        <w:rPr>
          <w:rFonts w:cstheme="minorHAnsi"/>
          <w:b/>
          <w:bCs/>
          <w:lang w:val="en-GB"/>
        </w:rPr>
        <w:t>financial needs</w:t>
      </w:r>
      <w:r>
        <w:rPr>
          <w:rFonts w:cstheme="minorHAnsi"/>
          <w:lang w:val="en-GB"/>
        </w:rPr>
        <w:t>. Currently, access to funding and the use of multi-funding sources (including beyond public funding) are identified as key operational needs of local authorities in supporting sustainable urban projects.</w:t>
      </w:r>
    </w:p>
    <w:p w14:paraId="4BA737C6" w14:textId="77777777">
      <w:pPr>
        <w:pStyle w:val="Heading1"/>
        <w:keepNext/>
        <w:numPr>
          <w:ilvl w:val="0"/>
          <w:numId w:val="0"/>
        </w:numPr>
        <w:rPr>
          <w:b/>
          <w:lang w:val="en-GB"/>
        </w:rPr>
      </w:pPr>
    </w:p>
    <w:p w14:paraId="78650A6C" w14:textId="67DD98DA">
      <w:pPr>
        <w:pStyle w:val="Heading1"/>
        <w:keepNext/>
        <w:numPr>
          <w:ilvl w:val="0"/>
          <w:numId w:val="0"/>
        </w:numPr>
        <w:rPr>
          <w:b/>
          <w:bCs/>
          <w:lang w:val="en-GB"/>
        </w:rPr>
      </w:pPr>
      <w:r>
        <w:rPr>
          <w:b/>
          <w:bCs/>
          <w:lang w:val="en-GB"/>
        </w:rPr>
        <w:t xml:space="preserve">Key </w:t>
      </w:r>
      <w:r>
        <w:rPr>
          <w:b/>
          <w:bCs/>
          <w:lang w:val="en-GB"/>
        </w:rPr>
        <w:t>questions</w:t>
      </w:r>
      <w:r>
        <w:rPr>
          <w:b/>
          <w:bCs/>
          <w:lang w:val="en-GB"/>
        </w:rPr>
        <w:t xml:space="preserve"> </w:t>
      </w:r>
      <w:r>
        <w:rPr>
          <w:b/>
          <w:bCs/>
          <w:lang w:val="en-GB"/>
        </w:rPr>
        <w:t>for the debate</w:t>
      </w:r>
    </w:p>
    <w:p w14:paraId="0DF6869C" w14:textId="4596D9FA">
      <w:pPr>
        <w:rPr>
          <w:lang w:val="en-GB"/>
        </w:rPr>
      </w:pPr>
    </w:p>
    <w:p w14:paraId="0D0C44B7" w14:textId="15567BEE">
      <w:pPr>
        <w:numPr>
          <w:ilvl w:val="0"/>
          <w:numId w:val="37"/>
        </w:numPr>
        <w:ind w:left="567" w:hanging="567"/>
        <w:rPr>
          <w:rFonts w:cstheme="minorBidi"/>
          <w:i/>
          <w:iCs/>
          <w:lang w:val="en-GB"/>
        </w:rPr>
      </w:pPr>
      <w:r>
        <w:rPr>
          <w:rFonts w:cstheme="minorBidi"/>
          <w:i/>
          <w:iCs/>
          <w:lang w:val="en-GB"/>
        </w:rPr>
        <w:t xml:space="preserve">What experience do you have in using 2021-2027 </w:t>
      </w:r>
      <w:r>
        <w:rPr>
          <w:rFonts w:cstheme="minorBidi"/>
          <w:i/>
          <w:iCs/>
          <w:lang w:val="en-GB"/>
        </w:rPr>
        <w:t>c</w:t>
      </w:r>
      <w:r>
        <w:rPr>
          <w:rFonts w:cstheme="minorBidi"/>
          <w:i/>
          <w:iCs/>
          <w:lang w:val="en-GB"/>
        </w:rPr>
        <w:t>ohesion policy and other EU funds for urban projects? What were the main advantages and disadvantages you encountered? Have you managed to integrate different funding sources for your urban investments?</w:t>
      </w:r>
    </w:p>
    <w:p w14:paraId="318EBD7A" w14:textId="4E7F09B3">
      <w:pPr>
        <w:numPr>
          <w:ilvl w:val="0"/>
          <w:numId w:val="37"/>
        </w:numPr>
        <w:ind w:left="567" w:hanging="567"/>
        <w:rPr>
          <w:rFonts w:cstheme="minorBidi"/>
          <w:i/>
          <w:iCs/>
          <w:lang w:val="en-GB"/>
        </w:rPr>
      </w:pPr>
      <w:r>
        <w:rPr>
          <w:rFonts w:cstheme="minorBidi"/>
          <w:i/>
          <w:iCs/>
          <w:lang w:val="en-GB"/>
        </w:rPr>
        <w:t xml:space="preserve">What territorial delivery tools have been used in your region/locality in the </w:t>
      </w:r>
      <w:r>
        <w:rPr>
          <w:rFonts w:cstheme="minorBidi"/>
          <w:i/>
          <w:iCs/>
          <w:lang w:val="en-GB"/>
        </w:rPr>
        <w:t>c</w:t>
      </w:r>
      <w:r>
        <w:rPr>
          <w:rFonts w:cstheme="minorBidi"/>
          <w:i/>
          <w:iCs/>
          <w:lang w:val="en-GB"/>
        </w:rPr>
        <w:t xml:space="preserve">ohesion policy context </w:t>
      </w:r>
      <w:r>
        <w:rPr>
          <w:rFonts w:cstheme="minorBidi"/>
          <w:i/>
          <w:iCs/>
          <w:lang w:val="en-GB"/>
        </w:rPr>
        <w:t xml:space="preserve">– </w:t>
      </w:r>
      <w:r>
        <w:rPr>
          <w:rFonts w:cstheme="minorBidi"/>
          <w:i/>
          <w:iCs/>
          <w:lang w:val="en-GB"/>
        </w:rPr>
        <w:t>Integrated Territorial Investments (ITI), Community-Led Local Development (CLLD), other territorial instruments? What is your experience?</w:t>
      </w:r>
    </w:p>
    <w:p w14:paraId="065B4F70" w14:textId="7AA3F8AE">
      <w:pPr>
        <w:numPr>
          <w:ilvl w:val="0"/>
          <w:numId w:val="37"/>
        </w:numPr>
        <w:ind w:left="567" w:hanging="567"/>
        <w:rPr>
          <w:rFonts w:cstheme="minorHAnsi"/>
          <w:i/>
          <w:iCs/>
          <w:kern w:val="28"/>
          <w:lang w:val="en-GB"/>
        </w:rPr>
      </w:pPr>
      <w:r>
        <w:rPr>
          <w:rFonts w:cstheme="minorHAnsi"/>
          <w:i/>
          <w:iCs/>
          <w:kern w:val="28"/>
          <w:lang w:val="en-GB"/>
        </w:rPr>
        <w:t xml:space="preserve">What can cohesion policy do better to address urban development needs? What do you want to see in the ambitious policy agenda for cities that the next </w:t>
      </w:r>
      <w:r>
        <w:rPr>
          <w:rFonts w:cstheme="minorHAnsi"/>
          <w:i/>
          <w:iCs/>
          <w:kern w:val="28"/>
          <w:lang w:val="en-GB"/>
        </w:rPr>
        <w:t>C</w:t>
      </w:r>
      <w:r>
        <w:rPr>
          <w:rFonts w:cstheme="minorHAnsi"/>
          <w:i/>
          <w:iCs/>
          <w:kern w:val="28"/>
          <w:lang w:val="en-GB"/>
        </w:rPr>
        <w:t>ommissioner for Cohesion and Reforms should put forward?</w:t>
      </w:r>
    </w:p>
    <w:p w14:paraId="7803317C" w14:textId="34FD7CA1">
      <w:pPr>
        <w:numPr>
          <w:ilvl w:val="0"/>
          <w:numId w:val="37"/>
        </w:numPr>
        <w:ind w:left="567" w:hanging="567"/>
        <w:rPr>
          <w:rFonts w:cstheme="minorHAnsi"/>
          <w:i/>
          <w:iCs/>
          <w:kern w:val="28"/>
          <w:lang w:val="en-GB"/>
        </w:rPr>
      </w:pPr>
      <w:r>
        <w:rPr>
          <w:rFonts w:cstheme="minorHAnsi"/>
          <w:i/>
          <w:iCs/>
          <w:kern w:val="28"/>
          <w:lang w:val="en-GB"/>
        </w:rPr>
        <w:t xml:space="preserve">How do you perceive the role of </w:t>
      </w:r>
      <w:r>
        <w:rPr>
          <w:rFonts w:cstheme="minorHAnsi"/>
          <w:i/>
          <w:iCs/>
          <w:kern w:val="28"/>
          <w:lang w:val="en-GB"/>
        </w:rPr>
        <w:t xml:space="preserve">the </w:t>
      </w:r>
      <w:r>
        <w:rPr>
          <w:rFonts w:cstheme="minorHAnsi"/>
          <w:i/>
          <w:iCs/>
          <w:kern w:val="28"/>
          <w:lang w:val="en-GB"/>
        </w:rPr>
        <w:t xml:space="preserve">Urban </w:t>
      </w:r>
      <w:r>
        <w:rPr>
          <w:rFonts w:cstheme="minorHAnsi"/>
          <w:i/>
          <w:iCs/>
          <w:kern w:val="28"/>
          <w:lang w:val="en-GB"/>
        </w:rPr>
        <w:t xml:space="preserve">Agenda </w:t>
      </w:r>
      <w:r>
        <w:rPr>
          <w:rFonts w:cstheme="minorHAnsi"/>
          <w:i/>
          <w:iCs/>
          <w:kern w:val="28"/>
          <w:lang w:val="en-GB"/>
        </w:rPr>
        <w:t xml:space="preserve">for </w:t>
      </w:r>
      <w:r>
        <w:rPr>
          <w:rFonts w:cstheme="minorHAnsi"/>
          <w:i/>
          <w:iCs/>
          <w:kern w:val="28"/>
          <w:lang w:val="en-GB"/>
        </w:rPr>
        <w:t xml:space="preserve">the </w:t>
      </w:r>
      <w:r>
        <w:rPr>
          <w:rFonts w:cstheme="minorHAnsi"/>
          <w:i/>
          <w:iCs/>
          <w:kern w:val="28"/>
          <w:lang w:val="en-GB"/>
        </w:rPr>
        <w:t xml:space="preserve">EU and EU Territorial </w:t>
      </w:r>
      <w:r>
        <w:rPr>
          <w:rFonts w:cstheme="minorHAnsi"/>
          <w:i/>
          <w:iCs/>
          <w:kern w:val="28"/>
          <w:lang w:val="en-GB"/>
        </w:rPr>
        <w:t>A</w:t>
      </w:r>
      <w:r>
        <w:rPr>
          <w:rFonts w:cstheme="minorHAnsi"/>
          <w:i/>
          <w:iCs/>
          <w:kern w:val="28"/>
          <w:lang w:val="en-GB"/>
        </w:rPr>
        <w:t>genda in setting the architecture of the EU funds post</w:t>
      </w:r>
      <w:r>
        <w:rPr>
          <w:rFonts w:cstheme="minorHAnsi"/>
          <w:i/>
          <w:iCs/>
          <w:kern w:val="28"/>
          <w:lang w:val="en-GB"/>
        </w:rPr>
        <w:t>-</w:t>
      </w:r>
      <w:r>
        <w:rPr>
          <w:rFonts w:cstheme="minorHAnsi"/>
          <w:i/>
          <w:iCs/>
          <w:kern w:val="28"/>
          <w:lang w:val="en-GB"/>
        </w:rPr>
        <w:t xml:space="preserve">2027? Do you see them merged in the expected </w:t>
      </w:r>
      <w:r>
        <w:rPr>
          <w:rFonts w:cstheme="minorHAnsi"/>
          <w:i/>
          <w:iCs/>
          <w:kern w:val="28"/>
          <w:lang w:val="en-GB"/>
        </w:rPr>
        <w:t xml:space="preserve">Commission </w:t>
      </w:r>
      <w:r>
        <w:rPr>
          <w:rFonts w:cstheme="minorHAnsi"/>
          <w:i/>
          <w:iCs/>
          <w:kern w:val="28"/>
          <w:lang w:val="en-GB"/>
        </w:rPr>
        <w:t xml:space="preserve">policy agenda for cities? </w:t>
      </w:r>
    </w:p>
    <w:p w14:paraId="2D8E4BEC" w14:textId="000582FD">
      <w:pPr>
        <w:numPr>
          <w:ilvl w:val="0"/>
          <w:numId w:val="37"/>
        </w:numPr>
        <w:ind w:left="567" w:hanging="567"/>
        <w:rPr>
          <w:rFonts w:cstheme="minorHAnsi"/>
          <w:i/>
          <w:iCs/>
          <w:kern w:val="28"/>
          <w:lang w:val="en-GB"/>
        </w:rPr>
      </w:pPr>
      <w:r>
        <w:rPr>
          <w:rFonts w:cstheme="minorHAnsi"/>
          <w:i/>
          <w:iCs/>
          <w:kern w:val="28"/>
          <w:lang w:val="en-GB"/>
        </w:rPr>
        <w:t xml:space="preserve">Would you see a continued role for other policy and funding instruments beyond cohesion policy under shared management </w:t>
      </w:r>
      <w:r>
        <w:rPr>
          <w:rFonts w:cstheme="minorHAnsi"/>
          <w:i/>
          <w:iCs/>
          <w:kern w:val="28"/>
          <w:lang w:val="en-GB"/>
        </w:rPr>
        <w:t>(e</w:t>
      </w:r>
      <w:r>
        <w:rPr>
          <w:rFonts w:cstheme="minorHAnsi"/>
          <w:i/>
          <w:iCs/>
          <w:kern w:val="28"/>
          <w:lang w:val="en-GB"/>
        </w:rPr>
        <w:t>.g. the European Urban Initiative</w:t>
      </w:r>
      <w:r>
        <w:rPr>
          <w:rFonts w:cstheme="minorHAnsi"/>
          <w:i/>
          <w:iCs/>
          <w:kern w:val="28"/>
          <w:lang w:val="en-GB"/>
        </w:rPr>
        <w:t>, an</w:t>
      </w:r>
      <w:r>
        <w:rPr>
          <w:rFonts w:cstheme="minorHAnsi"/>
          <w:i/>
          <w:iCs/>
          <w:kern w:val="28"/>
          <w:lang w:val="en-GB"/>
        </w:rPr>
        <w:t xml:space="preserve"> RRF-type approach</w:t>
      </w:r>
      <w:r>
        <w:rPr>
          <w:rFonts w:cstheme="minorHAnsi"/>
          <w:i/>
          <w:iCs/>
          <w:kern w:val="28"/>
          <w:lang w:val="en-GB"/>
        </w:rPr>
        <w:t>,</w:t>
      </w:r>
      <w:r>
        <w:rPr>
          <w:rFonts w:cstheme="minorHAnsi"/>
          <w:i/>
          <w:iCs/>
          <w:kern w:val="28"/>
          <w:lang w:val="en-GB"/>
        </w:rPr>
        <w:t xml:space="preserve"> Cities mission</w:t>
      </w:r>
      <w:r>
        <w:rPr>
          <w:rFonts w:cstheme="minorHAnsi"/>
          <w:i/>
          <w:iCs/>
          <w:kern w:val="28"/>
          <w:lang w:val="en-GB"/>
        </w:rPr>
        <w:t>)</w:t>
      </w:r>
      <w:r>
        <w:rPr>
          <w:rFonts w:cstheme="minorHAnsi"/>
          <w:i/>
          <w:iCs/>
          <w:kern w:val="28"/>
          <w:lang w:val="en-GB"/>
        </w:rPr>
        <w:t xml:space="preserve">? If </w:t>
      </w:r>
      <w:r>
        <w:rPr>
          <w:rFonts w:cstheme="minorHAnsi"/>
          <w:i/>
          <w:iCs/>
          <w:kern w:val="28"/>
          <w:lang w:val="en-GB"/>
        </w:rPr>
        <w:t>so</w:t>
      </w:r>
      <w:r>
        <w:rPr>
          <w:rFonts w:cstheme="minorHAnsi"/>
          <w:i/>
          <w:iCs/>
          <w:kern w:val="28"/>
          <w:lang w:val="en-GB"/>
        </w:rPr>
        <w:t>, how would you propose to ensure a strategic approach, avoiding duplication and overlaps on the one hand and gaps on the other?</w:t>
      </w:r>
    </w:p>
    <w:p w14:paraId="47036989" w14:textId="0FDB0804">
      <w:pPr>
        <w:numPr>
          <w:ilvl w:val="0"/>
          <w:numId w:val="37"/>
        </w:numPr>
        <w:ind w:left="567" w:hanging="567"/>
        <w:rPr>
          <w:rFonts w:cstheme="minorHAnsi"/>
          <w:i/>
          <w:iCs/>
          <w:kern w:val="28"/>
          <w:lang w:val="en-GB"/>
        </w:rPr>
      </w:pPr>
      <w:r>
        <w:rPr>
          <w:rFonts w:cstheme="minorHAnsi"/>
          <w:i/>
          <w:iCs/>
          <w:kern w:val="28"/>
          <w:lang w:val="en-GB"/>
        </w:rPr>
        <w:t xml:space="preserve">What role do you see for the private sector? How </w:t>
      </w:r>
      <w:r>
        <w:rPr>
          <w:rFonts w:cstheme="minorHAnsi"/>
          <w:i/>
          <w:iCs/>
          <w:kern w:val="28"/>
          <w:lang w:val="en-GB"/>
        </w:rPr>
        <w:t>can</w:t>
      </w:r>
      <w:r>
        <w:rPr>
          <w:rFonts w:cstheme="minorHAnsi"/>
          <w:i/>
          <w:iCs/>
          <w:kern w:val="28"/>
          <w:lang w:val="en-GB"/>
        </w:rPr>
        <w:t xml:space="preserve"> this</w:t>
      </w:r>
      <w:r>
        <w:rPr>
          <w:rFonts w:cstheme="minorHAnsi"/>
          <w:i/>
          <w:iCs/>
          <w:kern w:val="28"/>
          <w:lang w:val="en-GB"/>
        </w:rPr>
        <w:t xml:space="preserve"> be taken</w:t>
      </w:r>
      <w:r>
        <w:rPr>
          <w:rFonts w:cstheme="minorHAnsi"/>
          <w:i/>
          <w:iCs/>
          <w:kern w:val="28"/>
          <w:lang w:val="en-GB"/>
        </w:rPr>
        <w:t xml:space="preserve"> forward post</w:t>
      </w:r>
      <w:r>
        <w:rPr>
          <w:rFonts w:cstheme="minorHAnsi"/>
          <w:i/>
          <w:iCs/>
          <w:kern w:val="28"/>
          <w:lang w:val="en-GB"/>
        </w:rPr>
        <w:t>-</w:t>
      </w:r>
      <w:r>
        <w:rPr>
          <w:rFonts w:cstheme="minorHAnsi"/>
          <w:i/>
          <w:iCs/>
          <w:kern w:val="28"/>
          <w:lang w:val="en-GB"/>
        </w:rPr>
        <w:t>2027?</w:t>
      </w:r>
    </w:p>
    <w:p w14:paraId="68F48D93" w14:textId="77777777">
      <w:pPr>
        <w:numPr>
          <w:ilvl w:val="0"/>
          <w:numId w:val="37"/>
        </w:numPr>
        <w:ind w:left="567" w:hanging="567"/>
        <w:rPr>
          <w:rFonts w:cstheme="minorHAnsi"/>
          <w:i/>
          <w:iCs/>
          <w:kern w:val="28"/>
          <w:lang w:val="en-GB"/>
        </w:rPr>
      </w:pPr>
      <w:r>
        <w:rPr>
          <w:rFonts w:cstheme="minorHAnsi"/>
          <w:i/>
          <w:iCs/>
          <w:kern w:val="28"/>
          <w:lang w:val="en-GB"/>
        </w:rPr>
        <w:t>What (further) support do you consider is needed as regards technical and administrative capacity of municipalities and beneficiaries?</w:t>
      </w:r>
    </w:p>
    <w:p w14:paraId="0AA2FC84" w14:textId="0A730603">
      <w:pPr>
        <w:numPr>
          <w:ilvl w:val="0"/>
          <w:numId w:val="37"/>
        </w:numPr>
        <w:ind w:left="567" w:hanging="567"/>
        <w:rPr>
          <w:rFonts w:cstheme="minorHAnsi"/>
          <w:i/>
          <w:iCs/>
          <w:kern w:val="28"/>
          <w:lang w:val="en-GB"/>
        </w:rPr>
      </w:pPr>
      <w:r>
        <w:rPr>
          <w:rFonts w:cstheme="minorHAnsi"/>
          <w:i/>
          <w:iCs/>
          <w:kern w:val="28"/>
          <w:lang w:val="en-GB"/>
        </w:rPr>
        <w:t xml:space="preserve">How can we stimulate the construction of a new </w:t>
      </w:r>
      <w:r>
        <w:rPr>
          <w:rFonts w:cstheme="minorHAnsi"/>
          <w:i/>
          <w:iCs/>
          <w:kern w:val="28"/>
          <w:lang w:val="en-GB"/>
        </w:rPr>
        <w:t>u</w:t>
      </w:r>
      <w:r>
        <w:rPr>
          <w:rFonts w:cstheme="minorHAnsi"/>
          <w:i/>
          <w:iCs/>
          <w:kern w:val="28"/>
          <w:lang w:val="en-GB"/>
        </w:rPr>
        <w:t xml:space="preserve">rban </w:t>
      </w:r>
      <w:r>
        <w:rPr>
          <w:rFonts w:cstheme="minorHAnsi"/>
          <w:i/>
          <w:iCs/>
          <w:kern w:val="28"/>
          <w:lang w:val="en-GB"/>
        </w:rPr>
        <w:t>a</w:t>
      </w:r>
      <w:r>
        <w:rPr>
          <w:rFonts w:cstheme="minorHAnsi"/>
          <w:i/>
          <w:iCs/>
          <w:kern w:val="28"/>
          <w:lang w:val="en-GB"/>
        </w:rPr>
        <w:t>genda that rewards the aggregation of functional and urban areas, compared to individual municipalities, to address the challenges of the future?</w:t>
      </w:r>
    </w:p>
    <w:p w14:paraId="1E6B83E5" w14:textId="277437B1">
      <w:pPr>
        <w:numPr>
          <w:ilvl w:val="0"/>
          <w:numId w:val="37"/>
        </w:numPr>
        <w:ind w:left="567" w:hanging="567"/>
        <w:rPr>
          <w:rFonts w:cstheme="minorHAnsi"/>
          <w:i/>
          <w:iCs/>
          <w:kern w:val="28"/>
          <w:lang w:val="en-GB"/>
        </w:rPr>
      </w:pPr>
      <w:r>
        <w:rPr>
          <w:rFonts w:cstheme="minorHAnsi"/>
          <w:i/>
          <w:iCs/>
          <w:kern w:val="28"/>
          <w:lang w:val="en-GB"/>
        </w:rPr>
        <w:t xml:space="preserve">How can we leverage the administrative, technical and financial capacity demonstrated by </w:t>
      </w:r>
      <w:r>
        <w:rPr>
          <w:rFonts w:cstheme="minorHAnsi"/>
          <w:i/>
          <w:iCs/>
          <w:kern w:val="28"/>
          <w:lang w:val="en-GB"/>
        </w:rPr>
        <w:t xml:space="preserve">urban areas and metropolitan areas </w:t>
      </w:r>
      <w:r>
        <w:rPr>
          <w:rFonts w:cstheme="minorHAnsi"/>
          <w:i/>
          <w:iCs/>
          <w:kern w:val="28"/>
          <w:lang w:val="en-GB"/>
        </w:rPr>
        <w:t xml:space="preserve">in the implementation of </w:t>
      </w:r>
      <w:r>
        <w:rPr>
          <w:rFonts w:cstheme="minorHAnsi"/>
          <w:i/>
          <w:iCs/>
          <w:kern w:val="28"/>
          <w:lang w:val="en-GB"/>
        </w:rPr>
        <w:t>c</w:t>
      </w:r>
      <w:r>
        <w:rPr>
          <w:rFonts w:cstheme="minorHAnsi"/>
          <w:i/>
          <w:iCs/>
          <w:kern w:val="28"/>
          <w:lang w:val="en-GB"/>
        </w:rPr>
        <w:t xml:space="preserve">ohesion </w:t>
      </w:r>
      <w:r>
        <w:rPr>
          <w:rFonts w:cstheme="minorHAnsi"/>
          <w:i/>
          <w:iCs/>
          <w:kern w:val="28"/>
          <w:lang w:val="en-GB"/>
        </w:rPr>
        <w:t>p</w:t>
      </w:r>
      <w:r>
        <w:rPr>
          <w:rFonts w:cstheme="minorHAnsi"/>
          <w:i/>
          <w:iCs/>
          <w:kern w:val="28"/>
          <w:lang w:val="en-GB"/>
        </w:rPr>
        <w:t>olicies and the Recovery and Resilience Facility (RRF)?</w:t>
      </w:r>
    </w:p>
    <w:p w14:paraId="7DE2D05E" w14:textId="31A7A2E3">
      <w:pPr>
        <w:numPr>
          <w:ilvl w:val="0"/>
          <w:numId w:val="37"/>
        </w:numPr>
        <w:ind w:left="567" w:hanging="567"/>
        <w:rPr>
          <w:rFonts w:cstheme="minorBidi"/>
          <w:i/>
          <w:iCs/>
          <w:kern w:val="28"/>
          <w:lang w:val="en-GB"/>
        </w:rPr>
      </w:pPr>
      <w:r>
        <w:rPr>
          <w:rFonts w:cstheme="minorBidi"/>
          <w:i/>
          <w:iCs/>
          <w:kern w:val="28"/>
          <w:lang w:val="en-GB"/>
        </w:rPr>
        <w:t xml:space="preserve">How can we ensure new forms of protagonism for </w:t>
      </w:r>
      <w:r>
        <w:rPr>
          <w:rFonts w:cstheme="minorBidi"/>
          <w:i/>
          <w:iCs/>
          <w:kern w:val="28"/>
          <w:lang w:val="en-GB"/>
        </w:rPr>
        <w:t>urban areas and metropolitan areas</w:t>
      </w:r>
      <w:r>
        <w:rPr>
          <w:rFonts w:cstheme="minorBidi"/>
          <w:i/>
          <w:iCs/>
          <w:kern w:val="28"/>
          <w:lang w:val="en-GB"/>
        </w:rPr>
        <w:t>?</w:t>
      </w:r>
    </w:p>
    <w:p w14:paraId="44CE2FBE" w14:textId="01218473">
      <w:pPr>
        <w:numPr>
          <w:ilvl w:val="0"/>
          <w:numId w:val="37"/>
        </w:numPr>
        <w:ind w:left="567" w:hanging="567"/>
        <w:rPr>
          <w:rFonts w:cstheme="minorBidi"/>
          <w:i/>
          <w:iCs/>
          <w:kern w:val="28"/>
          <w:lang w:val="en-GB"/>
        </w:rPr>
      </w:pPr>
      <w:r>
        <w:rPr>
          <w:rFonts w:cstheme="minorBidi"/>
          <w:i/>
          <w:iCs/>
          <w:kern w:val="28"/>
          <w:lang w:val="en-GB"/>
        </w:rPr>
        <w:t>What changes and innovations should be introduced into the regulations of cohesion policy after 2027</w:t>
      </w:r>
      <w:r>
        <w:rPr>
          <w:rFonts w:cstheme="minorBidi"/>
          <w:i/>
          <w:iCs/>
          <w:kern w:val="28"/>
          <w:lang w:val="en-GB"/>
        </w:rPr>
        <w:t>?</w:t>
      </w:r>
    </w:p>
    <w:p w14:paraId="07676645" w14:textId="5F47A580">
      <w:pPr>
        <w:numPr>
          <w:ilvl w:val="0"/>
          <w:numId w:val="37"/>
        </w:numPr>
        <w:ind w:left="567" w:hanging="567"/>
        <w:rPr>
          <w:rFonts w:cstheme="minorHAnsi"/>
          <w:i/>
          <w:iCs/>
          <w:kern w:val="28"/>
          <w:lang w:val="en-GB"/>
        </w:rPr>
      </w:pPr>
      <w:r>
        <w:rPr>
          <w:rFonts w:cstheme="minorHAnsi"/>
          <w:i/>
          <w:iCs/>
          <w:kern w:val="28"/>
          <w:lang w:val="en-GB"/>
        </w:rPr>
        <w:t xml:space="preserve">What is the best way to strengthen the role of urban areas </w:t>
      </w:r>
      <w:r>
        <w:rPr>
          <w:rFonts w:cstheme="minorHAnsi"/>
          <w:i/>
          <w:iCs/>
          <w:kern w:val="28"/>
          <w:lang w:val="en-GB"/>
        </w:rPr>
        <w:t xml:space="preserve">and metropolitan areas </w:t>
      </w:r>
      <w:r>
        <w:rPr>
          <w:rFonts w:cstheme="minorHAnsi"/>
          <w:i/>
          <w:iCs/>
          <w:kern w:val="28"/>
          <w:lang w:val="en-GB"/>
        </w:rPr>
        <w:t>in the programming of policies and investments, going beyond territorial strategies?</w:t>
      </w:r>
    </w:p>
    <w:p w14:paraId="2D6EE9B4" w14:textId="43812DCD">
      <w:pPr>
        <w:numPr>
          <w:ilvl w:val="0"/>
          <w:numId w:val="37"/>
        </w:numPr>
        <w:ind w:left="567" w:hanging="567"/>
        <w:rPr>
          <w:rFonts w:cstheme="minorHAnsi"/>
          <w:i/>
          <w:iCs/>
          <w:kern w:val="28"/>
          <w:lang w:val="en-GB"/>
        </w:rPr>
      </w:pPr>
      <w:r>
        <w:rPr>
          <w:rFonts w:cstheme="minorHAnsi"/>
          <w:i/>
          <w:iCs/>
          <w:kern w:val="28"/>
          <w:lang w:val="en-GB"/>
        </w:rPr>
        <w:t xml:space="preserve">What mechanisms and tools could be used to improve the implementation of investments, defining a governance that serves </w:t>
      </w:r>
      <w:r>
        <w:rPr>
          <w:rFonts w:cstheme="minorHAnsi"/>
          <w:i/>
          <w:iCs/>
          <w:kern w:val="28"/>
          <w:lang w:val="en-GB"/>
        </w:rPr>
        <w:t xml:space="preserve">urban areas and </w:t>
      </w:r>
      <w:r>
        <w:rPr>
          <w:rFonts w:cstheme="minorHAnsi"/>
          <w:i/>
          <w:iCs/>
          <w:kern w:val="28"/>
          <w:lang w:val="en-GB"/>
        </w:rPr>
        <w:t>metropolitan areas?</w:t>
      </w:r>
    </w:p>
    <w:p w14:paraId="4DC6FCD8" w14:textId="0720B576">
      <w:pPr>
        <w:overflowPunct w:val="0"/>
        <w:autoSpaceDE w:val="0"/>
        <w:autoSpaceDN w:val="0"/>
        <w:adjustRightInd w:val="0"/>
        <w:jc w:val="center"/>
        <w:textAlignment w:val="baseline"/>
        <w:rPr>
          <w:lang w:val="en-GB"/>
        </w:rPr>
      </w:pPr>
      <w:r>
        <w:rPr>
          <w:lang w:val="en-GB"/>
        </w:rPr>
        <w:t>_____________</w:t>
      </w:r>
    </w:p>
    <w:sectPr>
      <w:headerReference w:type="even" r:id="rId25"/>
      <w:headerReference w:type="default" r:id="rId26"/>
      <w:footerReference w:type="even" r:id="rId27"/>
      <w:footerReference w:type="default" r:id="rId28"/>
      <w:headerReference w:type="first" r:id="rId29"/>
      <w:footerReference w:type="first" r:id="rId30"/>
      <w:pgSz w:w="11907" w:h="16839" w:code="9"/>
      <w:pgMar w:top="1418" w:right="1418" w:bottom="1418" w:left="1418" w:header="709"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A239C" w14:textId="77777777">
      <w:pPr>
        <w:spacing w:line="240" w:lineRule="auto"/>
      </w:pPr>
      <w:r>
        <w:separator/>
      </w:r>
    </w:p>
  </w:endnote>
  <w:endnote w:type="continuationSeparator" w:id="0">
    <w:p w14:paraId="3D03B79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5A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FAF18" w14:textId="3B6ABCB7">
    <w:pPr>
      <w:pStyle w:val="Footer"/>
    </w:pPr>
    <w:r>
      <w:t xml:space="preserve">COR-2024-03723-00-00-DT-TRA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w:instrText>
    </w:r>
    <w:r>
      <w:rPr>
        <w:noProof/>
      </w:rPr>
      <w:fldChar w:fldCharType="end"/>
    </w:r>
    <w:r>
      <w:instrText xml:space="preserve"> -0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546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143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D816" w14:textId="18E574FE">
    <w:pPr>
      <w:pStyle w:val="Footer"/>
    </w:pPr>
    <w:r>
      <w:t xml:space="preserve">COR-2024-03723-00-00-DT-TRA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3</w:instrText>
    </w:r>
    <w:r>
      <w:rPr>
        <w:noProof/>
      </w:rPr>
      <w:fldChar w:fldCharType="end"/>
    </w:r>
    <w:r>
      <w:instrText xml:space="preserve"> -0 </w:instrText>
    </w:r>
    <w:r>
      <w:fldChar w:fldCharType="separate"/>
    </w:r>
    <w:r>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BEC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633F" w14:textId="77777777">
      <w:pPr>
        <w:spacing w:line="240" w:lineRule="auto"/>
      </w:pPr>
      <w:r>
        <w:separator/>
      </w:r>
    </w:p>
  </w:footnote>
  <w:footnote w:type="continuationSeparator" w:id="0">
    <w:p w14:paraId="399098D9" w14:textId="77777777">
      <w:pPr>
        <w:spacing w:line="240" w:lineRule="auto"/>
      </w:pPr>
      <w:r>
        <w:continuationSeparator/>
      </w:r>
    </w:p>
  </w:footnote>
  <w:footnote w:id="1">
    <w:p w14:paraId="0F5C9F7A" w14:textId="008273B2">
      <w:pPr>
        <w:pStyle w:val="FootnoteText"/>
        <w:rPr>
          <w:szCs w:val="16"/>
          <w:lang w:val="en-GB"/>
        </w:rPr>
      </w:pPr>
      <w:r>
        <w:rPr>
          <w:rStyle w:val="FootnoteReference"/>
          <w:szCs w:val="16"/>
          <w:lang w:val="en-GB"/>
        </w:rPr>
        <w:footnoteRef/>
      </w:r>
      <w:r>
        <w:rPr>
          <w:szCs w:val="16"/>
          <w:lang w:val="en-GB"/>
        </w:rPr>
        <w:tab/>
      </w:r>
      <w:hyperlink r:id="rId1" w:history="1">
        <w:r>
          <w:rPr>
            <w:rStyle w:val="Hyperlink"/>
            <w:i/>
            <w:iCs/>
            <w:szCs w:val="16"/>
            <w:lang w:val="en-GB"/>
          </w:rPr>
          <w:t>Developments and Forecasts on Continuing Urbanisation</w:t>
        </w:r>
        <w:r>
          <w:rPr>
            <w:rStyle w:val="Hyperlink"/>
            <w:szCs w:val="16"/>
            <w:lang w:val="en-GB"/>
          </w:rPr>
          <w:t>,</w:t>
        </w:r>
        <w:r>
          <w:rPr>
            <w:rStyle w:val="Hyperlink"/>
            <w:szCs w:val="16"/>
            <w:lang w:val="en-GB"/>
          </w:rPr>
          <w:t xml:space="preserve"> Knowledge for policy</w:t>
        </w:r>
      </w:hyperlink>
      <w:r>
        <w:rPr>
          <w:rStyle w:val="Hyperlink"/>
          <w:szCs w:val="16"/>
          <w:lang w:val="en-GB"/>
        </w:rPr>
        <w:t>.</w:t>
      </w:r>
    </w:p>
  </w:footnote>
  <w:footnote w:id="2">
    <w:p w14:paraId="6F5ECE74" w14:textId="2446E87E">
      <w:pPr>
        <w:pStyle w:val="FootnoteText"/>
        <w:rPr>
          <w:sz w:val="20"/>
          <w:szCs w:val="20"/>
          <w:lang w:val="en-GB"/>
        </w:rPr>
      </w:pPr>
      <w:r>
        <w:rPr>
          <w:rStyle w:val="FootnoteReference"/>
          <w:szCs w:val="16"/>
          <w:lang w:val="en-GB"/>
        </w:rPr>
        <w:footnoteRef/>
      </w:r>
      <w:r>
        <w:rPr>
          <w:szCs w:val="16"/>
          <w:lang w:val="en-GB"/>
        </w:rPr>
        <w:tab/>
      </w:r>
      <w:r>
        <w:rPr>
          <w:szCs w:val="16"/>
          <w:lang w:val="en-GB"/>
        </w:rPr>
        <w:t>Eurostat (2018)</w:t>
      </w:r>
      <w:r>
        <w:rPr>
          <w:szCs w:val="16"/>
          <w:lang w:val="en-GB"/>
        </w:rPr>
        <w:t>,</w:t>
      </w:r>
      <w:r>
        <w:rPr>
          <w:szCs w:val="16"/>
          <w:lang w:val="en-GB"/>
        </w:rPr>
        <w:t xml:space="preserve"> </w:t>
      </w:r>
      <w:hyperlink r:id="rId2" w:history="1">
        <w:r>
          <w:rPr>
            <w:rStyle w:val="Hyperlink"/>
            <w:i/>
            <w:iCs/>
            <w:szCs w:val="16"/>
            <w:lang w:val="en-GB"/>
          </w:rPr>
          <w:t>Methodological manual on territorial typologies</w:t>
        </w:r>
      </w:hyperlink>
      <w:r>
        <w:rPr>
          <w:i/>
          <w:iCs/>
          <w:szCs w:val="16"/>
          <w:lang w:val="en-GB"/>
        </w:rPr>
        <w:t xml:space="preserve">. </w:t>
      </w:r>
      <w:r>
        <w:rPr>
          <w:szCs w:val="16"/>
          <w:lang w:val="en-GB"/>
        </w:rPr>
        <w:t xml:space="preserve">Metropolitan regions are urban agglomerations (NUTS level 3 regions or groups of NUTS level 3 regions) where at least 50% of the population lives inside a functional urban area (FUA) that is composed of at least </w:t>
      </w:r>
      <w:r>
        <w:rPr>
          <w:szCs w:val="16"/>
          <w:lang w:val="en-GB"/>
        </w:rPr>
        <w:t>250</w:t>
      </w:r>
      <w:r>
        <w:rPr>
          <w:szCs w:val="16"/>
          <w:lang w:val="en-GB"/>
        </w:rPr>
        <w:t> </w:t>
      </w:r>
      <w:r>
        <w:rPr>
          <w:szCs w:val="16"/>
          <w:lang w:val="en-GB"/>
        </w:rPr>
        <w:t>000 inhabitants. Functional urban areas consist of a city and its commuting zone. The EU and OECD have adopted a common methodology to identify a functional urban area.</w:t>
      </w:r>
    </w:p>
  </w:footnote>
  <w:footnote w:id="3">
    <w:p w14:paraId="23232EC1" w14:textId="4829B04A">
      <w:pPr>
        <w:pStyle w:val="FootnoteText"/>
        <w:rPr>
          <w:szCs w:val="16"/>
          <w:lang w:val="en-GB"/>
        </w:rPr>
      </w:pPr>
      <w:r>
        <w:rPr>
          <w:rStyle w:val="FootnoteReference"/>
          <w:szCs w:val="16"/>
          <w:lang w:val="en-GB"/>
        </w:rPr>
        <w:footnoteRef/>
      </w:r>
      <w:r>
        <w:rPr>
          <w:szCs w:val="16"/>
          <w:lang w:val="en-GB"/>
        </w:rPr>
        <w:tab/>
      </w:r>
      <w:hyperlink r:id="rId3" w:history="1">
        <w:r>
          <w:rPr>
            <w:rStyle w:val="Hyperlink"/>
            <w:i/>
            <w:iCs/>
            <w:szCs w:val="16"/>
            <w:lang w:val="en-GB"/>
          </w:rPr>
          <w:t>GHSL-OECD functional urban areas</w:t>
        </w:r>
        <w:r>
          <w:rPr>
            <w:rStyle w:val="Hyperlink"/>
            <w:szCs w:val="16"/>
            <w:lang w:val="en-GB"/>
          </w:rPr>
          <w:t>,</w:t>
        </w:r>
        <w:r>
          <w:rPr>
            <w:rStyle w:val="Hyperlink"/>
            <w:szCs w:val="16"/>
            <w:lang w:val="en-GB"/>
          </w:rPr>
          <w:t xml:space="preserve"> </w:t>
        </w:r>
        <w:r>
          <w:rPr>
            <w:rStyle w:val="Hyperlink"/>
            <w:szCs w:val="16"/>
            <w:lang w:val="en-GB"/>
          </w:rPr>
          <w:t>Publications Office of the EU</w:t>
        </w:r>
      </w:hyperlink>
      <w:r>
        <w:rPr>
          <w:rStyle w:val="Hyperlink"/>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5BF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7B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14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8C5F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B3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E2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E1784E"/>
    <w:multiLevelType w:val="hybridMultilevel"/>
    <w:tmpl w:val="ABE87AD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704F21"/>
    <w:multiLevelType w:val="hybridMultilevel"/>
    <w:tmpl w:val="F5508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7694C"/>
    <w:multiLevelType w:val="hybridMultilevel"/>
    <w:tmpl w:val="B0A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7E1E1F"/>
    <w:multiLevelType w:val="hybridMultilevel"/>
    <w:tmpl w:val="695C57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FAB157B"/>
    <w:multiLevelType w:val="hybridMultilevel"/>
    <w:tmpl w:val="703E56B6"/>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91DEAA"/>
    <w:multiLevelType w:val="multilevel"/>
    <w:tmpl w:val="528EA516"/>
    <w:lvl w:ilvl="0">
      <w:start w:val="2"/>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7" w15:restartNumberingAfterBreak="0">
    <w:nsid w:val="33BB52E7"/>
    <w:multiLevelType w:val="multilevel"/>
    <w:tmpl w:val="51883DB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2812FC3"/>
    <w:multiLevelType w:val="hybridMultilevel"/>
    <w:tmpl w:val="8D34A94E"/>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F76490"/>
    <w:multiLevelType w:val="multilevel"/>
    <w:tmpl w:val="51883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4"/>
  </w:num>
  <w:num w:numId="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Henrietta">
    <w15:presenceInfo w15:providerId="AD" w15:userId="S::Henrietta.Nicolas@eesc.europa.eu::eecf5f3b-509b-42f4-8880-18dd57a47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96"/>
    <w:rsid w:val="00021042"/>
    <w:rsid w:val="00024912"/>
    <w:rsid w:val="00027896"/>
    <w:rsid w:val="000408B7"/>
    <w:rsid w:val="00051D5F"/>
    <w:rsid w:val="00065426"/>
    <w:rsid w:val="00077B19"/>
    <w:rsid w:val="0011443A"/>
    <w:rsid w:val="00133D1F"/>
    <w:rsid w:val="001354EF"/>
    <w:rsid w:val="00173813"/>
    <w:rsid w:val="001B52B3"/>
    <w:rsid w:val="001E1977"/>
    <w:rsid w:val="001E77D7"/>
    <w:rsid w:val="0036214E"/>
    <w:rsid w:val="00461E0D"/>
    <w:rsid w:val="0047674F"/>
    <w:rsid w:val="004B432E"/>
    <w:rsid w:val="00510226"/>
    <w:rsid w:val="005441A3"/>
    <w:rsid w:val="00564C94"/>
    <w:rsid w:val="00596303"/>
    <w:rsid w:val="00655D33"/>
    <w:rsid w:val="00683A6C"/>
    <w:rsid w:val="006C5239"/>
    <w:rsid w:val="0071176C"/>
    <w:rsid w:val="00794D7D"/>
    <w:rsid w:val="007E28D2"/>
    <w:rsid w:val="007F0E3B"/>
    <w:rsid w:val="007F690C"/>
    <w:rsid w:val="00800C79"/>
    <w:rsid w:val="0081114F"/>
    <w:rsid w:val="00832859"/>
    <w:rsid w:val="008A29BB"/>
    <w:rsid w:val="008B1DE9"/>
    <w:rsid w:val="00972503"/>
    <w:rsid w:val="009F1403"/>
    <w:rsid w:val="00A272E6"/>
    <w:rsid w:val="00A311F9"/>
    <w:rsid w:val="00A32C00"/>
    <w:rsid w:val="00A3438F"/>
    <w:rsid w:val="00AC03FC"/>
    <w:rsid w:val="00B53D68"/>
    <w:rsid w:val="00B55C47"/>
    <w:rsid w:val="00B66282"/>
    <w:rsid w:val="00B714FB"/>
    <w:rsid w:val="00B81F1F"/>
    <w:rsid w:val="00B821CB"/>
    <w:rsid w:val="00B91C3C"/>
    <w:rsid w:val="00BB5A32"/>
    <w:rsid w:val="00BF2C22"/>
    <w:rsid w:val="00C33859"/>
    <w:rsid w:val="00C548A7"/>
    <w:rsid w:val="00CA4C64"/>
    <w:rsid w:val="00DC4753"/>
    <w:rsid w:val="00DF779A"/>
    <w:rsid w:val="00E00C45"/>
    <w:rsid w:val="00E15EA0"/>
    <w:rsid w:val="00E50CD6"/>
    <w:rsid w:val="00E70182"/>
    <w:rsid w:val="00F13AF4"/>
    <w:rsid w:val="00F40A6B"/>
    <w:rsid w:val="01AF2897"/>
    <w:rsid w:val="0996FC58"/>
    <w:rsid w:val="0BCADA5F"/>
    <w:rsid w:val="1960EE77"/>
    <w:rsid w:val="19959843"/>
    <w:rsid w:val="1C85F2D9"/>
    <w:rsid w:val="1EE8DC4A"/>
    <w:rsid w:val="22C47786"/>
    <w:rsid w:val="29AE8C6B"/>
    <w:rsid w:val="362328A9"/>
    <w:rsid w:val="36E996F6"/>
    <w:rsid w:val="3A30F22E"/>
    <w:rsid w:val="5CFCD5DF"/>
    <w:rsid w:val="72E9DA07"/>
    <w:rsid w:val="7AE23CAB"/>
    <w:rsid w:val="7FA2C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6017"/>
  <w15:chartTrackingRefBased/>
  <w15:docId w15:val="{B0B7A0A7-FC0F-4F96-95D2-181CCAC4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23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6C5239"/>
    <w:pPr>
      <w:numPr>
        <w:numId w:val="1"/>
      </w:numPr>
      <w:ind w:left="567" w:hanging="567"/>
      <w:outlineLvl w:val="0"/>
    </w:pPr>
    <w:rPr>
      <w:kern w:val="28"/>
    </w:rPr>
  </w:style>
  <w:style w:type="paragraph" w:styleId="Heading2">
    <w:name w:val="heading 2"/>
    <w:basedOn w:val="Normal"/>
    <w:next w:val="Normal"/>
    <w:link w:val="Heading2Char"/>
    <w:qFormat/>
    <w:rsid w:val="006C5239"/>
    <w:pPr>
      <w:numPr>
        <w:ilvl w:val="1"/>
        <w:numId w:val="1"/>
      </w:numPr>
      <w:ind w:left="567" w:hanging="567"/>
      <w:outlineLvl w:val="1"/>
    </w:pPr>
  </w:style>
  <w:style w:type="paragraph" w:styleId="Heading3">
    <w:name w:val="heading 3"/>
    <w:basedOn w:val="Normal"/>
    <w:next w:val="Normal"/>
    <w:link w:val="Heading3Char"/>
    <w:qFormat/>
    <w:rsid w:val="006C5239"/>
    <w:pPr>
      <w:numPr>
        <w:ilvl w:val="2"/>
        <w:numId w:val="1"/>
      </w:numPr>
      <w:ind w:left="567" w:hanging="567"/>
      <w:outlineLvl w:val="2"/>
    </w:pPr>
  </w:style>
  <w:style w:type="paragraph" w:styleId="Heading4">
    <w:name w:val="heading 4"/>
    <w:basedOn w:val="Normal"/>
    <w:next w:val="Normal"/>
    <w:link w:val="Heading4Char"/>
    <w:qFormat/>
    <w:rsid w:val="006C5239"/>
    <w:pPr>
      <w:numPr>
        <w:ilvl w:val="3"/>
        <w:numId w:val="1"/>
      </w:numPr>
      <w:ind w:left="567" w:hanging="567"/>
      <w:outlineLvl w:val="3"/>
    </w:pPr>
  </w:style>
  <w:style w:type="paragraph" w:styleId="Heading5">
    <w:name w:val="heading 5"/>
    <w:basedOn w:val="Normal"/>
    <w:next w:val="Normal"/>
    <w:link w:val="Heading5Char"/>
    <w:qFormat/>
    <w:rsid w:val="006C5239"/>
    <w:pPr>
      <w:numPr>
        <w:ilvl w:val="4"/>
        <w:numId w:val="1"/>
      </w:numPr>
      <w:ind w:left="567" w:hanging="567"/>
      <w:outlineLvl w:val="4"/>
    </w:pPr>
  </w:style>
  <w:style w:type="paragraph" w:styleId="Heading6">
    <w:name w:val="heading 6"/>
    <w:basedOn w:val="Normal"/>
    <w:next w:val="Normal"/>
    <w:link w:val="Heading6Char"/>
    <w:qFormat/>
    <w:rsid w:val="006C5239"/>
    <w:pPr>
      <w:numPr>
        <w:ilvl w:val="5"/>
        <w:numId w:val="1"/>
      </w:numPr>
      <w:ind w:left="567" w:hanging="567"/>
      <w:outlineLvl w:val="5"/>
    </w:pPr>
  </w:style>
  <w:style w:type="paragraph" w:styleId="Heading7">
    <w:name w:val="heading 7"/>
    <w:basedOn w:val="Normal"/>
    <w:next w:val="Normal"/>
    <w:link w:val="Heading7Char"/>
    <w:qFormat/>
    <w:rsid w:val="006C5239"/>
    <w:pPr>
      <w:numPr>
        <w:ilvl w:val="6"/>
        <w:numId w:val="1"/>
      </w:numPr>
      <w:ind w:left="567" w:hanging="567"/>
      <w:outlineLvl w:val="6"/>
    </w:pPr>
  </w:style>
  <w:style w:type="paragraph" w:styleId="Heading8">
    <w:name w:val="heading 8"/>
    <w:basedOn w:val="Normal"/>
    <w:next w:val="Normal"/>
    <w:link w:val="Heading8Char"/>
    <w:qFormat/>
    <w:rsid w:val="006C5239"/>
    <w:pPr>
      <w:numPr>
        <w:ilvl w:val="7"/>
        <w:numId w:val="1"/>
      </w:numPr>
      <w:ind w:left="567" w:hanging="567"/>
      <w:outlineLvl w:val="7"/>
    </w:pPr>
  </w:style>
  <w:style w:type="paragraph" w:styleId="Heading9">
    <w:name w:val="heading 9"/>
    <w:basedOn w:val="Normal"/>
    <w:next w:val="Normal"/>
    <w:link w:val="Heading9Char"/>
    <w:qFormat/>
    <w:rsid w:val="006C523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896"/>
    <w:rPr>
      <w:rFonts w:ascii="Times New Roman" w:eastAsia="Times New Roman" w:hAnsi="Times New Roman" w:cs="Times New Roman"/>
      <w:kern w:val="28"/>
    </w:rPr>
  </w:style>
  <w:style w:type="character" w:customStyle="1" w:styleId="Heading2Char">
    <w:name w:val="Heading 2 Char"/>
    <w:basedOn w:val="DefaultParagraphFont"/>
    <w:link w:val="Heading2"/>
    <w:rsid w:val="00027896"/>
    <w:rPr>
      <w:rFonts w:ascii="Times New Roman" w:eastAsia="Times New Roman" w:hAnsi="Times New Roman" w:cs="Times New Roman"/>
    </w:rPr>
  </w:style>
  <w:style w:type="character" w:customStyle="1" w:styleId="Heading3Char">
    <w:name w:val="Heading 3 Char"/>
    <w:basedOn w:val="DefaultParagraphFont"/>
    <w:link w:val="Heading3"/>
    <w:rsid w:val="00027896"/>
    <w:rPr>
      <w:rFonts w:ascii="Times New Roman" w:eastAsia="Times New Roman" w:hAnsi="Times New Roman" w:cs="Times New Roman"/>
    </w:rPr>
  </w:style>
  <w:style w:type="character" w:customStyle="1" w:styleId="Heading4Char">
    <w:name w:val="Heading 4 Char"/>
    <w:basedOn w:val="DefaultParagraphFont"/>
    <w:link w:val="Heading4"/>
    <w:rsid w:val="00027896"/>
    <w:rPr>
      <w:rFonts w:ascii="Times New Roman" w:eastAsia="Times New Roman" w:hAnsi="Times New Roman" w:cs="Times New Roman"/>
    </w:rPr>
  </w:style>
  <w:style w:type="character" w:customStyle="1" w:styleId="Heading5Char">
    <w:name w:val="Heading 5 Char"/>
    <w:basedOn w:val="DefaultParagraphFont"/>
    <w:link w:val="Heading5"/>
    <w:rsid w:val="00027896"/>
    <w:rPr>
      <w:rFonts w:ascii="Times New Roman" w:eastAsia="Times New Roman" w:hAnsi="Times New Roman" w:cs="Times New Roman"/>
    </w:rPr>
  </w:style>
  <w:style w:type="character" w:customStyle="1" w:styleId="Heading6Char">
    <w:name w:val="Heading 6 Char"/>
    <w:basedOn w:val="DefaultParagraphFont"/>
    <w:link w:val="Heading6"/>
    <w:rsid w:val="00027896"/>
    <w:rPr>
      <w:rFonts w:ascii="Times New Roman" w:eastAsia="Times New Roman" w:hAnsi="Times New Roman" w:cs="Times New Roman"/>
    </w:rPr>
  </w:style>
  <w:style w:type="character" w:customStyle="1" w:styleId="Heading7Char">
    <w:name w:val="Heading 7 Char"/>
    <w:basedOn w:val="DefaultParagraphFont"/>
    <w:link w:val="Heading7"/>
    <w:rsid w:val="00027896"/>
    <w:rPr>
      <w:rFonts w:ascii="Times New Roman" w:eastAsia="Times New Roman" w:hAnsi="Times New Roman" w:cs="Times New Roman"/>
    </w:rPr>
  </w:style>
  <w:style w:type="character" w:customStyle="1" w:styleId="Heading8Char">
    <w:name w:val="Heading 8 Char"/>
    <w:basedOn w:val="DefaultParagraphFont"/>
    <w:link w:val="Heading8"/>
    <w:rsid w:val="00027896"/>
    <w:rPr>
      <w:rFonts w:ascii="Times New Roman" w:eastAsia="Times New Roman" w:hAnsi="Times New Roman" w:cs="Times New Roman"/>
    </w:rPr>
  </w:style>
  <w:style w:type="character" w:customStyle="1" w:styleId="Heading9Char">
    <w:name w:val="Heading 9 Char"/>
    <w:basedOn w:val="DefaultParagraphFont"/>
    <w:link w:val="Heading9"/>
    <w:rsid w:val="00027896"/>
    <w:rPr>
      <w:rFonts w:ascii="Times New Roman" w:eastAsia="Times New Roman" w:hAnsi="Times New Roman" w:cs="Times New Roman"/>
    </w:rPr>
  </w:style>
  <w:style w:type="paragraph" w:styleId="Footer">
    <w:name w:val="footer"/>
    <w:basedOn w:val="Normal"/>
    <w:link w:val="FooterChar"/>
    <w:qFormat/>
    <w:rsid w:val="006C5239"/>
  </w:style>
  <w:style w:type="character" w:customStyle="1" w:styleId="FooterChar">
    <w:name w:val="Footer Char"/>
    <w:basedOn w:val="DefaultParagraphFont"/>
    <w:link w:val="Footer"/>
    <w:rsid w:val="00027896"/>
    <w:rPr>
      <w:rFonts w:ascii="Times New Roman" w:eastAsia="Times New Roman" w:hAnsi="Times New Roman" w:cs="Times New Roman"/>
    </w:rPr>
  </w:style>
  <w:style w:type="paragraph" w:styleId="FootnoteText">
    <w:name w:val="footnote text"/>
    <w:basedOn w:val="Normal"/>
    <w:link w:val="FootnoteTextChar"/>
    <w:qFormat/>
    <w:rsid w:val="006C5239"/>
    <w:pPr>
      <w:keepLines/>
      <w:spacing w:after="60" w:line="240" w:lineRule="auto"/>
      <w:ind w:left="567" w:hanging="567"/>
    </w:pPr>
    <w:rPr>
      <w:sz w:val="16"/>
    </w:rPr>
  </w:style>
  <w:style w:type="character" w:customStyle="1" w:styleId="FootnoteTextChar">
    <w:name w:val="Footnote Text Char"/>
    <w:basedOn w:val="DefaultParagraphFont"/>
    <w:link w:val="FootnoteText"/>
    <w:rsid w:val="00027896"/>
    <w:rPr>
      <w:rFonts w:ascii="Times New Roman" w:eastAsia="Times New Roman" w:hAnsi="Times New Roman" w:cs="Times New Roman"/>
      <w:sz w:val="16"/>
    </w:rPr>
  </w:style>
  <w:style w:type="paragraph" w:styleId="Header">
    <w:name w:val="header"/>
    <w:basedOn w:val="Normal"/>
    <w:link w:val="HeaderChar"/>
    <w:qFormat/>
    <w:rsid w:val="006C5239"/>
  </w:style>
  <w:style w:type="character" w:customStyle="1" w:styleId="HeaderChar">
    <w:name w:val="Header Char"/>
    <w:basedOn w:val="DefaultParagraphFont"/>
    <w:link w:val="Header"/>
    <w:rsid w:val="00027896"/>
    <w:rPr>
      <w:rFonts w:ascii="Times New Roman" w:eastAsia="Times New Roman" w:hAnsi="Times New Roman" w:cs="Times New Roman"/>
    </w:rPr>
  </w:style>
  <w:style w:type="paragraph" w:customStyle="1" w:styleId="quotes">
    <w:name w:val="quotes"/>
    <w:basedOn w:val="Normal"/>
    <w:next w:val="Normal"/>
    <w:rsid w:val="006C5239"/>
    <w:pPr>
      <w:ind w:left="720"/>
    </w:pPr>
    <w:rPr>
      <w:i/>
    </w:rPr>
  </w:style>
  <w:style w:type="character" w:styleId="FootnoteReference">
    <w:name w:val="footnote reference"/>
    <w:basedOn w:val="DefaultParagraphFont"/>
    <w:unhideWhenUsed/>
    <w:qFormat/>
    <w:rsid w:val="006C5239"/>
    <w:rPr>
      <w:sz w:val="24"/>
      <w:vertAlign w:val="superscript"/>
    </w:rPr>
  </w:style>
  <w:style w:type="character" w:styleId="Hyperlink">
    <w:name w:val="Hyperlink"/>
    <w:basedOn w:val="DefaultParagraphFont"/>
    <w:uiPriority w:val="99"/>
    <w:rsid w:val="00027896"/>
    <w:rPr>
      <w:color w:val="0000FF"/>
      <w:u w:val="single"/>
    </w:rPr>
  </w:style>
  <w:style w:type="character" w:styleId="FollowedHyperlink">
    <w:name w:val="FollowedHyperlink"/>
    <w:basedOn w:val="DefaultParagraphFont"/>
    <w:uiPriority w:val="99"/>
    <w:semiHidden/>
    <w:unhideWhenUsed/>
    <w:rsid w:val="00F40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7459">
      <w:bodyDiv w:val="1"/>
      <w:marLeft w:val="0"/>
      <w:marRight w:val="0"/>
      <w:marTop w:val="0"/>
      <w:marBottom w:val="0"/>
      <w:divBdr>
        <w:top w:val="none" w:sz="0" w:space="0" w:color="auto"/>
        <w:left w:val="none" w:sz="0" w:space="0" w:color="auto"/>
        <w:bottom w:val="none" w:sz="0" w:space="0" w:color="auto"/>
        <w:right w:val="none" w:sz="0" w:space="0" w:color="auto"/>
      </w:divBdr>
    </w:div>
    <w:div w:id="1220826524">
      <w:bodyDiv w:val="1"/>
      <w:marLeft w:val="0"/>
      <w:marRight w:val="0"/>
      <w:marTop w:val="0"/>
      <w:marBottom w:val="0"/>
      <w:divBdr>
        <w:top w:val="none" w:sz="0" w:space="0" w:color="auto"/>
        <w:left w:val="none" w:sz="0" w:space="0" w:color="auto"/>
        <w:bottom w:val="none" w:sz="0" w:space="0" w:color="auto"/>
        <w:right w:val="none" w:sz="0" w:space="0" w:color="auto"/>
      </w:divBdr>
    </w:div>
    <w:div w:id="1359234983">
      <w:bodyDiv w:val="1"/>
      <w:marLeft w:val="0"/>
      <w:marRight w:val="0"/>
      <w:marTop w:val="0"/>
      <w:marBottom w:val="0"/>
      <w:divBdr>
        <w:top w:val="none" w:sz="0" w:space="0" w:color="auto"/>
        <w:left w:val="none" w:sz="0" w:space="0" w:color="auto"/>
        <w:bottom w:val="none" w:sz="0" w:space="0" w:color="auto"/>
        <w:right w:val="none" w:sz="0" w:space="0" w:color="auto"/>
      </w:divBdr>
    </w:div>
    <w:div w:id="1605264323">
      <w:bodyDiv w:val="1"/>
      <w:marLeft w:val="0"/>
      <w:marRight w:val="0"/>
      <w:marTop w:val="0"/>
      <w:marBottom w:val="0"/>
      <w:divBdr>
        <w:top w:val="none" w:sz="0" w:space="0" w:color="auto"/>
        <w:left w:val="none" w:sz="0" w:space="0" w:color="auto"/>
        <w:bottom w:val="none" w:sz="0" w:space="0" w:color="auto"/>
        <w:right w:val="none" w:sz="0" w:space="0" w:color="auto"/>
      </w:divBdr>
    </w:div>
    <w:div w:id="1639071826">
      <w:bodyDiv w:val="1"/>
      <w:marLeft w:val="0"/>
      <w:marRight w:val="0"/>
      <w:marTop w:val="0"/>
      <w:marBottom w:val="0"/>
      <w:divBdr>
        <w:top w:val="none" w:sz="0" w:space="0" w:color="auto"/>
        <w:left w:val="none" w:sz="0" w:space="0" w:color="auto"/>
        <w:bottom w:val="none" w:sz="0" w:space="0" w:color="auto"/>
        <w:right w:val="none" w:sz="0" w:space="0" w:color="auto"/>
      </w:divBdr>
    </w:div>
    <w:div w:id="1656907141">
      <w:bodyDiv w:val="1"/>
      <w:marLeft w:val="0"/>
      <w:marRight w:val="0"/>
      <w:marTop w:val="0"/>
      <w:marBottom w:val="0"/>
      <w:divBdr>
        <w:top w:val="none" w:sz="0" w:space="0" w:color="auto"/>
        <w:left w:val="none" w:sz="0" w:space="0" w:color="auto"/>
        <w:bottom w:val="none" w:sz="0" w:space="0" w:color="auto"/>
        <w:right w:val="none" w:sz="0" w:space="0" w:color="auto"/>
      </w:divBdr>
    </w:div>
    <w:div w:id="1661301224">
      <w:bodyDiv w:val="1"/>
      <w:marLeft w:val="0"/>
      <w:marRight w:val="0"/>
      <w:marTop w:val="0"/>
      <w:marBottom w:val="0"/>
      <w:divBdr>
        <w:top w:val="none" w:sz="0" w:space="0" w:color="auto"/>
        <w:left w:val="none" w:sz="0" w:space="0" w:color="auto"/>
        <w:bottom w:val="none" w:sz="0" w:space="0" w:color="auto"/>
        <w:right w:val="none" w:sz="0" w:space="0" w:color="auto"/>
      </w:divBdr>
    </w:div>
    <w:div w:id="1692998629">
      <w:bodyDiv w:val="1"/>
      <w:marLeft w:val="0"/>
      <w:marRight w:val="0"/>
      <w:marTop w:val="0"/>
      <w:marBottom w:val="0"/>
      <w:divBdr>
        <w:top w:val="none" w:sz="0" w:space="0" w:color="auto"/>
        <w:left w:val="none" w:sz="0" w:space="0" w:color="auto"/>
        <w:bottom w:val="none" w:sz="0" w:space="0" w:color="auto"/>
        <w:right w:val="none" w:sz="0" w:space="0" w:color="auto"/>
      </w:divBdr>
    </w:div>
    <w:div w:id="17663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21" Type="http://schemas.openxmlformats.org/officeDocument/2006/relationships/hyperlink" Target="https://ec.europa.eu/regional_policy/en/information/publications/brochures/2021/territorial-agenda-2030-a-future-for-all-places" TargetMode="External"/><Relationship Id="rId34"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theme" Target="theme/theme1.xml"/><Relationship Id="rId16" Type="http://schemas.openxmlformats.org/officeDocument/2006/relationships/footer" Target="footer2.xml"/><Relationship Id="rId20" Type="http://schemas.openxmlformats.org/officeDocument/2006/relationships/hyperlink" Target="https://ec.europa.eu/regional_policy/en/information/publications/brochures/2020/new-leipzig-charter-the-transformative-power-of-cities-for-the-common-good" TargetMode="External"/><Relationship Id="rId29" Type="http://schemas.openxmlformats.org/officeDocument/2006/relationships/header" Target="header6.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32" Type="http://schemas.microsoft.com/office/2011/relationships/people" Target="people.xml"/><Relationship Id="rId37"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c.europa.eu/regional_policy/2021_2027_en" TargetMode="External"/><Relationship Id="rId28" Type="http://schemas.openxmlformats.org/officeDocument/2006/relationships/footer" Target="footer5.xml"/><Relationship Id="rId36"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yperlink" Target="https://futurium.ec.europa.eu/en/urban-agenda/library/pact-amsterdam" TargetMode="External"/><Relationship Id="rId31"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customXml" Target="../customXml/item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uropa.eu/en/publication-detail/-/publication/6a7f4748-1fb1-11ea-95ab-01aa75ed71a1/language-en" TargetMode="External"/><Relationship Id="rId2" Type="http://schemas.openxmlformats.org/officeDocument/2006/relationships/hyperlink" Target="https://ec.europa.eu/eurostat/statistics-explained/index.php?title=Territorial_typologies_manual" TargetMode="External"/><Relationship Id="rId1" Type="http://schemas.openxmlformats.org/officeDocument/2006/relationships/hyperlink" Target="https://knowledge4policy.ec.europa.eu/foresight/topic/continuing-urbanisation/developments-and-forecasts-on-continuing-urbanis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2d46f94-43c6-4a12-989f-74dddb81bcce">VTJTVCCZRNCJ-2069413221-4991</_dlc_DocId>
    <_dlc_DocIdUrl xmlns="a2d46f94-43c6-4a12-989f-74dddb81bcce">
      <Url>http://dm/cor/2024/_layouts/15/DocIdRedir.aspx?ID=VTJTVCCZRNCJ-2069413221-4991</Url>
      <Description>VTJTVCCZRNCJ-2069413221-4991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DT</TermName>
          <TermId xmlns="http://schemas.microsoft.com/office/infopath/2007/PartnerControls">25c86c03-f029-4a57-bd6c-25106fad060c</TermId>
        </TermInfo>
      </Terms>
    </DocumentType_0>
    <Procedure xmlns="a2d46f94-43c6-4a12-989f-74dddb81bcc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2d46f94-43c6-4a12-989f-74dddb81bcce">2024-11-18T12:00:00+00:00</ProductionDate>
    <FicheYear xmlns="a2d46f94-43c6-4a12-989f-74dddb81bcce" xsi:nil="true"/>
    <DocumentNumber xmlns="521ae2a1-1a9e-4ad2-8633-c143b5498900">3723</DocumentNumber>
    <DossierNumber xmlns="a2d46f94-43c6-4a12-989f-74dddb81bcce">44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2d46f94-43c6-4a12-989f-74dddb81bcce">2024-12-12T12:00:00+00:00</MeetingDate>
    <TaxCatchAll xmlns="a2d46f94-43c6-4a12-989f-74dddb81bcce">
      <Value>57</Value>
      <Value>47</Value>
      <Value>45</Value>
      <Value>41</Value>
      <Value>40</Value>
      <Value>39</Value>
      <Value>38</Value>
      <Value>36</Value>
      <Value>35</Value>
      <Value>34</Value>
      <Value>33</Value>
      <Value>32</Value>
      <Value>31</Value>
      <Value>30</Value>
      <Value>29</Value>
      <Value>28</Value>
      <Value>27</Value>
      <Value>26</Value>
      <Value>25</Value>
      <Value>24</Value>
      <Value>23</Value>
      <Value>22</Value>
      <Value>21</Value>
      <Value>14</Value>
      <Value>12</Value>
      <Value>10</Value>
      <Value>7</Value>
      <Value>6</Value>
      <Value>4</Value>
      <Value>1</Value>
      <Value>89</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2d46f94-43c6-4a12-989f-74dddb81bcce">PACENTE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2d46f94-43c6-4a12-989f-74dddb81bcce">2024</DocumentYear>
    <FicheNumber xmlns="a2d46f94-43c6-4a12-989f-74dddb81bcce">10140</FicheNumber>
    <OriginalSender xmlns="a2d46f94-43c6-4a12-989f-74dddb81bcce">
      <UserInfo>
        <DisplayName>TDriveSVCUserProd</DisplayName>
        <AccountId>1388</AccountId>
        <AccountType/>
      </UserInfo>
    </OriginalSender>
    <DocumentPart xmlns="a2d46f94-43c6-4a12-989f-74dddb81bcce">0</DocumentPart>
    <AdoptionDate xmlns="a2d46f94-43c6-4a12-989f-74dddb81bcce" xsi:nil="true"/>
    <RequestingService xmlns="a2d46f94-43c6-4a12-989f-74dddb81bcce">Commission COTER</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COTER-VII</TermName>
          <TermId xmlns="http://schemas.microsoft.com/office/infopath/2007/PartnerControls">243ddc77-ef12-4227-b0a3-1a896778a1d0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21ae2a1-1a9e-4ad2-8633-c143b5498900">26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COTER-VII</TermName>
          <TermId xmlns="http://schemas.microsoft.com/office/infopath/2007/PartnerControls">19f362e8-53ce-4987-b186-7753152f03c4</TermId>
        </TermInfo>
      </Terms>
    </DossierName_0>
    <DocumentVersion xmlns="a2d46f94-43c6-4a12-989f-74dddb81bcce">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9BEAD9B332A085469DD2C0622357DFAD" ma:contentTypeVersion="4" ma:contentTypeDescription="Defines the documents for Document Manager V2" ma:contentTypeScope="" ma:versionID="eb28a0db42110093aeb94d8970e24de5">
  <xsd:schema xmlns:xsd="http://www.w3.org/2001/XMLSchema" xmlns:xs="http://www.w3.org/2001/XMLSchema" xmlns:p="http://schemas.microsoft.com/office/2006/metadata/properties" xmlns:ns2="a2d46f94-43c6-4a12-989f-74dddb81bcce" xmlns:ns3="http://schemas.microsoft.com/sharepoint/v3/fields" xmlns:ns4="521ae2a1-1a9e-4ad2-8633-c143b5498900" targetNamespace="http://schemas.microsoft.com/office/2006/metadata/properties" ma:root="true" ma:fieldsID="99dfbd2c6d833589ddf668121716932a" ns2:_="" ns3:_="" ns4:_="">
    <xsd:import namespace="a2d46f94-43c6-4a12-989f-74dddb81bcce"/>
    <xsd:import namespace="http://schemas.microsoft.com/sharepoint/v3/fields"/>
    <xsd:import namespace="521ae2a1-1a9e-4ad2-8633-c143b549890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6f94-43c6-4a12-989f-74dddb81bc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ff9964be-ef63-475c-9d52-2f2c8f95332d}" ma:internalName="TaxCatchAll" ma:showField="CatchAllData"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f9964be-ef63-475c-9d52-2f2c8f95332d}" ma:internalName="TaxCatchAllLabel" ma:readOnly="true" ma:showField="CatchAllDataLabel"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1ae2a1-1a9e-4ad2-8633-c143b549890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F9F416-9050-4633-B1C8-AE2BC78A1788}"/>
</file>

<file path=customXml/itemProps2.xml><?xml version="1.0" encoding="utf-8"?>
<ds:datastoreItem xmlns:ds="http://schemas.openxmlformats.org/officeDocument/2006/customXml" ds:itemID="{538A1448-653C-4D14-907D-C87FE36DB250}"/>
</file>

<file path=customXml/itemProps3.xml><?xml version="1.0" encoding="utf-8"?>
<ds:datastoreItem xmlns:ds="http://schemas.openxmlformats.org/officeDocument/2006/customXml" ds:itemID="{63A6A85A-517A-4C34-B78B-81D95E96E15C}"/>
</file>

<file path=customXml/itemProps4.xml><?xml version="1.0" encoding="utf-8"?>
<ds:datastoreItem xmlns:ds="http://schemas.openxmlformats.org/officeDocument/2006/customXml" ds:itemID="{A893A679-C92B-4CC6-8BE1-04614682BA97}"/>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regions and functional urban areas as socio-economic drivers of sustainable investment in the 2020-2027 Cohesion policy framework</dc:title>
  <dc:subject>Working document</dc:subject>
  <dc:creator>Dimitrova Tanya</dc:creator>
  <cp:keywords>COR-2024-03723-00-00-DT-TRA-EN</cp:keywords>
  <dc:description>Rapporteur: - PACENTE Original language: - EN Date of document: - 18/11/2024 Date of meeting: - 12/12/2024 External documents: -  Administrator responsible: -  DIMITROVA TANYA</dc:description>
  <cp:lastModifiedBy>TDriveSVCUserProd</cp:lastModifiedBy>
  <cp:revision>8</cp:revision>
  <dcterms:created xsi:type="dcterms:W3CDTF">2024-11-18T15:53:00Z</dcterms:created>
  <dcterms:modified xsi:type="dcterms:W3CDTF">2024-11-18T15:56:00Z</dcterms:modified>
  <cp:category>COTER-VII/44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5" name="Pref_formatted">
    <vt:bool>true</vt:bool>
  </property>
  <property fmtid="{D5CDD505-2E9C-101B-9397-08002B2CF9AE}" pid="6" name="Pref_Date">
    <vt:lpwstr>18/11/2024</vt:lpwstr>
  </property>
  <property fmtid="{D5CDD505-2E9C-101B-9397-08002B2CF9AE}" pid="7" name="Pref_Time">
    <vt:lpwstr>16:48:20</vt:lpwstr>
  </property>
  <property fmtid="{D5CDD505-2E9C-101B-9397-08002B2CF9AE}" pid="8" name="Pref_User">
    <vt:lpwstr>amett</vt:lpwstr>
  </property>
  <property fmtid="{D5CDD505-2E9C-101B-9397-08002B2CF9AE}" pid="9" name="Pref_FileName">
    <vt:lpwstr>COR-2024-03723-00-00-DT-TRA-EN-CRR.docx</vt:lpwstr>
  </property>
  <property fmtid="{D5CDD505-2E9C-101B-9397-08002B2CF9AE}" pid="10" name="ContentTypeId">
    <vt:lpwstr>0x010100EA97B91038054C99906057A708A1480A009BEAD9B332A085469DD2C0622357DFAD</vt:lpwstr>
  </property>
  <property fmtid="{D5CDD505-2E9C-101B-9397-08002B2CF9AE}" pid="11" name="_dlc_DocIdItemGuid">
    <vt:lpwstr>4674465b-aac9-4a7a-80b0-5f0a5458d290</vt:lpwstr>
  </property>
  <property fmtid="{D5CDD505-2E9C-101B-9397-08002B2CF9AE}" pid="12" name="AvailableTranslations">
    <vt:lpwstr>10;#FR|d2afafd3-4c81-4f60-8f52-ee33f2f54ff3;#29;#PT|50ccc04a-eadd-42ae-a0cb-acaf45f812ba;#30;#BG|1a1b3951-7821-4e6a-85f5-5673fc08bd2c;#28;#IT|0774613c-01ed-4e5d-a25d-11d2388de825;#57;#GA|762d2456-c427-4ecb-b312-af3dad8e258c;#35;#HR|2f555653-ed1a-4fe6-8362-9082d95989e5;#14;#DE|f6b31e5a-26fa-4935-b661-318e46daf27e;#27;#ET|ff6c3f4c-b02c-4c3c-ab07-2c37995a7a0a;#40;#RO|feb747a2-64cd-4299-af12-4833ddc30497;#24;#CS|72f9705b-0217-4fd3-bea2-cbc7ed80e26e;#4;#EN|f2175f21-25d7-44a3-96da-d6a61b075e1b;#34;#SL|98a412ae-eb01-49e9-ae3d-585a81724cfc;#25;#PL|1e03da61-4678-4e07-b136-b5024ca9197b;#31;#MT|7df99101-6854-4a26-b53a-b88c0da02c26;#22;#EL|6d4f4d51-af9b-4650-94b4-4276bee85c91;#26;#SV|c2ed69e7-a339-43d7-8f22-d93680a92aa0;#39;#LT|a7ff5ce7-6123-4f68-865a-a57c31810414;#38;#LV|46f7e311-5d9f-4663-b433-18aeccb7ace7;#12;#NL|55c6556c-b4f4-441d-9acf-c498d4f838bd;#23;#ES|e7a6b05b-ae16-40c8-add9-68b64b03aeba;#36;#DA|5d49c027-8956-412b-aa16-e85a0f96ad0e;#41;#FI|87606a43-d45f-42d6-b8c9-e1a3457db5b7;#32;#SK|46d9fce0-ef79-4f71-b89b-cd6aa82426b8;#33;#HU|6b229040-c589-4408-b4c1-4285663d20a8</vt:lpwstr>
  </property>
  <property fmtid="{D5CDD505-2E9C-101B-9397-08002B2CF9AE}" pid="13" name="DocumentType_0">
    <vt:lpwstr>DT|25c86c03-f029-4a57-bd6c-25106fad060c</vt:lpwstr>
  </property>
  <property fmtid="{D5CDD505-2E9C-101B-9397-08002B2CF9AE}" pid="14" name="MeetingNumber">
    <vt:i4>26</vt:i4>
  </property>
  <property fmtid="{D5CDD505-2E9C-101B-9397-08002B2CF9AE}" pid="15" name="DossierName_0">
    <vt:lpwstr>COTER-VII|19f362e8-53ce-4987-b186-7753152f03c4</vt:lpwstr>
  </property>
  <property fmtid="{D5CDD505-2E9C-101B-9397-08002B2CF9AE}" pid="16" name="DocumentSource_0">
    <vt:lpwstr>CoR|cb2d75ef-4a7d-4393-b797-49ed6298a5ea</vt:lpwstr>
  </property>
  <property fmtid="{D5CDD505-2E9C-101B-9397-08002B2CF9AE}" pid="17" name="DocumentNumber">
    <vt:i4>3723</vt:i4>
  </property>
  <property fmtid="{D5CDD505-2E9C-101B-9397-08002B2CF9AE}" pid="18" name="FicheYear">
    <vt:i4>2024</vt:i4>
  </property>
  <property fmtid="{D5CDD505-2E9C-101B-9397-08002B2CF9AE}" pid="19" name="DocumentVersion">
    <vt:i4>0</vt:i4>
  </property>
  <property fmtid="{D5CDD505-2E9C-101B-9397-08002B2CF9AE}" pid="20" name="DossierNumber">
    <vt:i4>44</vt:i4>
  </property>
  <property fmtid="{D5CDD505-2E9C-101B-9397-08002B2CF9AE}" pid="21" name="DocumentStatus">
    <vt:lpwstr>7;#TRA|150d2a88-1431-44e6-a8ca-0bb753ab8672</vt:lpwstr>
  </property>
  <property fmtid="{D5CDD505-2E9C-101B-9397-08002B2CF9AE}" pid="22" name="DossierName">
    <vt:lpwstr>89;#COTER-VII|19f362e8-53ce-4987-b186-7753152f03c4</vt:lpwstr>
  </property>
  <property fmtid="{D5CDD505-2E9C-101B-9397-08002B2CF9AE}" pid="23" name="RequestingService">
    <vt:lpwstr>Commission COTER</vt:lpwstr>
  </property>
  <property fmtid="{D5CDD505-2E9C-101B-9397-08002B2CF9AE}" pid="24" name="Confidentiality">
    <vt:lpwstr>21;#Unrestricted|826e22d7-d029-4ec0-a450-0c28ff673572</vt:lpwstr>
  </property>
  <property fmtid="{D5CDD505-2E9C-101B-9397-08002B2CF9AE}" pid="25" name="MeetingName_0">
    <vt:lpwstr>COTER-VII|243ddc77-ef12-4227-b0a3-1a896778a1d0</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45;#COTER-VII|243ddc77-ef12-4227-b0a3-1a896778a1d0</vt:lpwstr>
  </property>
  <property fmtid="{D5CDD505-2E9C-101B-9397-08002B2CF9AE}" pid="29" name="MeetingDate">
    <vt:filetime>2024-12-12T12:00:00Z</vt:filetime>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21;#Unrestricted|826e22d7-d029-4ec0-a450-0c28ff673572;#47;#DT|25c86c03-f029-4a57-bd6c-25106fad060c;#45;#COTER-VII|243ddc77-ef12-4227-b0a3-1a896778a1d0;#4;#EN|f2175f21-25d7-44a3-96da-d6a61b075e1b;#7;#TRA|150d2a88-1431-44e6-a8ca-0bb753ab8672;#6;#Final|ea5e6674-7b27-4bac-b091-73adbb394efe;#89;#COTER-VII|19f362e8-53ce-4987-b186-7753152f03c4;#1;#CoR|cb2d75ef-4a7d-4393-b797-49ed6298a5ea</vt:lpwstr>
  </property>
  <property fmtid="{D5CDD505-2E9C-101B-9397-08002B2CF9AE}" pid="34" name="Rapporteur">
    <vt:lpwstr>PACENTE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2024</vt:i4>
  </property>
  <property fmtid="{D5CDD505-2E9C-101B-9397-08002B2CF9AE}" pid="38" name="FicheNumber">
    <vt:i4>10140</vt:i4>
  </property>
  <property fmtid="{D5CDD505-2E9C-101B-9397-08002B2CF9AE}" pid="39" name="DocumentPart">
    <vt:i4>0</vt:i4>
  </property>
  <property fmtid="{D5CDD505-2E9C-101B-9397-08002B2CF9AE}" pid="40" name="DocumentSource">
    <vt:lpwstr>1;#CoR|cb2d75ef-4a7d-4393-b797-49ed6298a5ea</vt:lpwstr>
  </property>
  <property fmtid="{D5CDD505-2E9C-101B-9397-08002B2CF9AE}" pid="42" name="DocumentType">
    <vt:lpwstr>47;#DT|25c86c03-f029-4a57-bd6c-25106fad060c</vt:lpwstr>
  </property>
  <property fmtid="{D5CDD505-2E9C-101B-9397-08002B2CF9AE}" pid="43" name="DocumentLanguage">
    <vt:lpwstr>4;#EN|f2175f21-25d7-44a3-96da-d6a61b075e1b</vt:lpwstr>
  </property>
  <property fmtid="{D5CDD505-2E9C-101B-9397-08002B2CF9AE}" pid="44" name="_docset_NoMedatataSyncRequired">
    <vt:lpwstr>False</vt:lpwstr>
  </property>
</Properties>
</file>